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May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001-41675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GOLDEN HEAVEN GROUP HOLDINGS LTD.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No. 8 Banhouhaichuan Rd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Xiqin Town, Yanping District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Nanping City, Fujian Province, China 353001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420"/>
        <w:spacing w:after="0" w:line="207" w:lineRule="exact"/>
        <w:tabs>
          <w:tab w:leader="none" w:pos="5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497840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9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Recently, Golden Heaven Group Holding Ltd. (the “Company”) completed its internal restructuring. Upon consummation of the internal restructuring, the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Company’s corporate structure is as follows: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1367790</wp:posOffset>
            </wp:positionH>
            <wp:positionV relativeFrom="paragraph">
              <wp:posOffset>142875</wp:posOffset>
            </wp:positionV>
            <wp:extent cx="4371975" cy="2443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44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There has been no material change to the Company’s business resulting from the internal restructuring.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57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The contents of this Form 6-K are hereby incorporated by reference into (i) the Company’s registration statement on </w:t>
      </w:r>
      <w:hyperlink r:id="rId14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Form S-8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auto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(File No. 333-279423) filed with the U.S.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”) on May 15, 2024, (ii) the Company’s registration statement on </w:t>
      </w:r>
      <w:hyperlink r:id="rId15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Form F-3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auto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(File No. 333-</w:t>
      </w:r>
      <w:hyperlink r:id="rId16">
        <w:r>
          <w:rPr>
            <w:rFonts w:ascii="Times New Roman" w:cs="Times New Roman" w:eastAsia="Times New Roman" w:hAnsi="Times New Roman"/>
            <w:sz w:val="18"/>
            <w:szCs w:val="18"/>
            <w:color w:val="auto"/>
          </w:rPr>
          <w:t xml:space="preserve">279942) filed with the SEC on June 4, 2024 and declared effective by the SEC on June 27, 2024, (iii) the Company’s registration statement on 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Form S-</w:t>
        </w:r>
      </w:hyperlink>
    </w:p>
    <w:p>
      <w:pPr>
        <w:spacing w:after="0" w:line="1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jc w:val="both"/>
        <w:ind w:right="260"/>
        <w:spacing w:after="0" w:line="255" w:lineRule="auto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6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8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(File No. 333-283714) filed with the SEC on December 10, 2024, (iv) the Company’s registration statement on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hyperlink r:id="rId17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 xml:space="preserve">Form F-3 </w:t>
        </w:r>
      </w:hyperlink>
      <w:hyperlink r:id="rId16"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(File No. 333-292462) filed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hyperlink r:id="rId17"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 xml:space="preserve">with the SEC on December 29, 2025 and declared effective by the SEC on February 6, 2026, and (v) the Company’s registration statement on 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Form F-</w:t>
        </w:r>
      </w:hyperlink>
      <w:hyperlink r:id="rId17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(File No. 333-295337) initially filed with the SEC on April 27, 2026.</w:t>
        </w:r>
      </w:hyperlink>
    </w:p>
    <w:p>
      <w:pPr>
        <w:spacing w:after="0" w:line="200" w:lineRule="exact"/>
        <w:rPr>
          <w:rFonts w:ascii="Times New Roman" w:cs="Times New Roman" w:eastAsia="Times New Roman" w:hAnsi="Times New Roman"/>
          <w:sz w:val="18"/>
          <w:szCs w:val="18"/>
          <w:color w:val="0000EE"/>
        </w:rPr>
      </w:pPr>
    </w:p>
    <w:p>
      <w:pPr>
        <w:spacing w:after="0" w:line="202" w:lineRule="exact"/>
        <w:rPr>
          <w:rFonts w:ascii="Times New Roman" w:cs="Times New Roman" w:eastAsia="Times New Roman" w:hAnsi="Times New Roman"/>
          <w:sz w:val="18"/>
          <w:szCs w:val="18"/>
          <w:color w:val="0000EE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60"/>
          </w:cols>
          <w:pgMar w:left="320" w:top="337" w:right="41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9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20" w:type="dxa"/>
            <w:vAlign w:val="bottom"/>
            <w:gridSpan w:val="2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Golden Heaven Group Holdings Ltd.</w:t>
            </w:r>
          </w:p>
        </w:tc>
      </w:tr>
      <w:tr>
        <w:trPr>
          <w:trHeight w:val="43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May 19, 2026</w:t>
            </w:r>
          </w:p>
        </w:tc>
        <w:tc>
          <w:tcPr>
            <w:tcW w:w="3800" w:type="dxa"/>
            <w:vAlign w:val="bottom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i w:val="1"/>
                <w:iCs w:val="1"/>
                <w:color w:val="auto"/>
              </w:rPr>
              <w:t>/s/ Jin Xu</w:t>
            </w:r>
          </w:p>
        </w:tc>
      </w:tr>
      <w:tr>
        <w:trPr>
          <w:trHeight w:val="19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ind w:left="32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2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Jin Xu</w:t>
            </w: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 and</w:t>
            </w: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Chairman of the Board of Directors</w:t>
            </w:r>
          </w:p>
        </w:tc>
      </w:tr>
      <w:tr>
        <w:trPr>
          <w:trHeight w:val="234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(Principal Executive Officer)</w:t>
            </w:r>
          </w:p>
        </w:tc>
      </w:tr>
      <w:tr>
        <w:trPr>
          <w:trHeight w:val="655"/>
        </w:trPr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auto"/>
            </w:tcBorders>
          </w:tcPr>
          <w:p>
            <w:pPr>
              <w:ind w:lef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8" Type="http://schemas.openxmlformats.org/officeDocument/2006/relationships/image" Target="media/image7.png"/><Relationship Id="rId14" Type="http://schemas.openxmlformats.org/officeDocument/2006/relationships/hyperlink" Target="https://www.sec.gov/Archives/edgar/data/1928340/000121390024043612/ea0205599-s8_golden.htm" TargetMode="External"/><Relationship Id="rId15" Type="http://schemas.openxmlformats.org/officeDocument/2006/relationships/hyperlink" Target="https://www.sec.gov/Archives/edgar/data/1928340/000121390024049756/ea0207066-f3_golden.htm" TargetMode="External"/><Relationship Id="rId16" Type="http://schemas.openxmlformats.org/officeDocument/2006/relationships/hyperlink" Target="https://www.sec.gov/Archives/edgar/data/1928340/000121390024107407/ea0224225-s8_golden.htm" TargetMode="External"/><Relationship Id="rId17" Type="http://schemas.openxmlformats.org/officeDocument/2006/relationships/hyperlink" Target="https://www.sec.gov/Archives/edgar/data/1928340/000121390025126078/ea0270541-f3_golden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2026-05-19T15:03:37Z</dcterms:created>
  <dcterms:modified xsi:type="dcterms:W3CDTF">2026-05-19T15:03:37Z</dcterms:modified>
</cp:coreProperties>
</file>