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4036-6k_golden.htm"/>
      <w:bookmarkStart w:id="1" w:name="ksea03040366k_golden"/>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w:t>
        <w:b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001-41675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8 Banhouhaichuan Rd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Xiqin Town, Yanping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Nanping City, Fujian Province, China 353001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Agreement for At The Market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2026, Golden Heaven Group Holding Ltd., a Cayman Islands exempted company (the “Company”) entered into a sales agreement (the “Sales Agreement”) with Craft Capital Management LLC (the “Sales Agent”), acting as the Company’s sales agent, pursuant to which the Company may offer and sell, from time to time, to or through the Sales Agent, Class A ordinary shares of the Company, par value $0.00001 per share (the “Class A Ordinary Shares”) having an aggregate offering price of up to $50,000,000 (the “Offered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Sales Agreement, the Offered Shares will be offered and sold pursuant to a base prospectus, dated February 2, 2026 and a prospectus supplement, dated August 31, 2026, that form a part of the Company’s shelf registration statement on Form F-3, as amended (File No. 333-292462), which was declared effective by the U.S. Securities and Exchange Commission (the “SEC”) on February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obligated to sell any Offered Shares under the Sales Agreement, and the Sales Agent is not under any obligation to purchase any Offered Shares on a principal basis pursuant to the Sales Agreement, except as otherwise agreed by the Sales Agent and the Company in writing pursuant to a separate agreement setting forth the terms of such sale. Subject to the terms and conditions of the Sales Agreement, the Sales Agent will use commercially reasonable efforts consistent with its normal trading and sales practices, applicable state and federal laws, rules and regulations and the rules of The Nasdaq Stock Market LLC to sell Offered Shares from time to time based upon the Company’s instructions, including any price, time or size limits specified by the Company. Upon delivery of a sales notice, and subject to the Company’s instructions in that notice, and the terms and conditions of the Sales Agreement generally, the Sales Agent may sell Offered Shares by any method permitted by law that is deemed to be an “at the market offering” as defined by Rule 415(a)(4) promulgated under the Securities Act of 1933, as amended. The Company will pay the Sales Agent and applicable executing broker an aggregate compensation of five percent (5.0%) of the gross proceeds from each sale of the Offered Shares and has agreed to provide the Sales Agent and applicable executing broker with customary indemnification and contribution rights. The Company has also agreed to reimburse the Sales Agent for certain expenses in connection with the offering under the Sales Agreement in an amount not to exceed $65,000, and up to an additional $2,500 for each calendar quarter in which the Company utilizes the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Sales Agreement does not purport to be complete and is qualified in its entirety by reference to the full text of the Sales Agreement, a copy of which is attached as Exhibit 10.1 to this Form 6-K and incorporated by reference herein. A copy of the opinion of Ogier, as Cayman Islands counsel to the Company, regarding the legality of the issuance and allotment of the Class A Ordinary Shares under the Sales Agreement is attached hereto as Exhibit 5.1 to this Form 6-K and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6-K shall not constitute an offer to sell or the solicitation of an offer to buy nor shall there be any sale of Offered Shares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contents of this Form 6-K are hereby incorporated by reference into (i) the Company’s registration statement on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(File No. 333-279423) filed with the SEC on May 15, 2024, (ii) the Company’s registration statement on </w:t>
      </w:r>
      <w:hyperlink r:id="rId3">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(File No. 333-279942) filed with the SEC on June 4, 2024 and declared effective by the SEC on June 27, 2024, (iii) the Company’s registration statement on </w:t>
      </w:r>
      <w:hyperlink r:id="rId4">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(File No. 333-283714) filed with the SEC on December 10, 2024, (iv) the Company’s registration statement on </w:t>
      </w:r>
      <w:hyperlink r:id="rId5">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(File No. 333-292462) filed with the SEC on December 29, 2025 and declared effective by the SEC on February 6, 2026, and (v) the Company’s registration statement on </w:t>
      </w:r>
      <w:hyperlink r:id="rId6">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(File No. 333-295337) initially filed with the SEC on April 27,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090" w:type="dxa"/>
        <w:jc w:val="left"/>
        <w:tblInd w:w="0" w:type="dxa"/>
        <w:tblLayout w:type="fixed"/>
        <w:tblCellMar>
          <w:top w:w="0" w:type="dxa"/>
          <w:left w:w="0" w:type="dxa"/>
          <w:bottom w:w="28" w:type="dxa"/>
          <w:right w:w="0" w:type="dxa"/>
        </w:tblCellMar>
      </w:tblPr>
      <w:tblGrid>
        <w:gridCol w:w="1205"/>
        <w:gridCol w:w="60"/>
        <w:gridCol w:w="8825"/>
      </w:tblGrid>
      <w:tr>
        <w:trPr/>
        <w:tc>
          <w:tcPr>
            <w:tcW w:w="1205"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8825" w:type="dxa"/>
            <w:tcBorders>
              <w:bottom w:val="single" w:sz="12" w:space="0" w:color="000000"/>
            </w:tcBorders>
            <w:vAlign w:val="center"/>
          </w:tcPr>
          <w:p>
            <w:pPr>
              <w:pStyle w:val="TableContents"/>
              <w:bidi w:val="0"/>
              <w:spacing w:before="0" w:after="283"/>
              <w:jc w:val="center"/>
              <w:rPr>
                <w:b/>
              </w:rPr>
            </w:pPr>
            <w:r>
              <w:rPr>
                <w:b/>
              </w:rPr>
              <w:t>Description of Exhibit</w:t>
            </w:r>
          </w:p>
        </w:tc>
      </w:tr>
      <w:tr>
        <w:trPr/>
        <w:tc>
          <w:tcPr>
            <w:tcW w:w="1205" w:type="dxa"/>
            <w:tcBorders/>
            <w:shd w:fill="CCEEFF" w:val="clear"/>
            <w:tcMar>
              <w:bottom w:w="0" w:type="dxa"/>
            </w:tcMar>
            <w:vAlign w:val="center"/>
          </w:tcPr>
          <w:p>
            <w:pPr>
              <w:pStyle w:val="TableContents"/>
              <w:bidi w:val="0"/>
              <w:spacing w:before="0" w:after="283"/>
              <w:jc w:val="left"/>
              <w:rPr/>
            </w:pPr>
            <w:r>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25" w:type="dxa"/>
            <w:tcBorders/>
            <w:shd w:fill="CCEEFF" w:val="clear"/>
            <w:tcMar>
              <w:bottom w:w="0" w:type="dxa"/>
            </w:tcMar>
            <w:vAlign w:val="center"/>
          </w:tcPr>
          <w:p>
            <w:pPr>
              <w:pStyle w:val="TableContents"/>
              <w:bidi w:val="0"/>
              <w:spacing w:before="0" w:after="283"/>
              <w:jc w:val="left"/>
              <w:rPr/>
            </w:pPr>
            <w:hyperlink w:anchor="ea030403601ex5-1.htm">
              <w:r>
                <w:rPr>
                  <w:rStyle w:val="InternetLink"/>
                </w:rPr>
                <w:t>Opinion of Ogier, Cayman Islands counsel to the Company</w:t>
              </w:r>
            </w:hyperlink>
          </w:p>
        </w:tc>
      </w:tr>
      <w:tr>
        <w:trPr/>
        <w:tc>
          <w:tcPr>
            <w:tcW w:w="1205" w:type="dxa"/>
            <w:tcBorders/>
            <w:shd w:fill="FFFFFF" w:val="clear"/>
            <w:tcMar>
              <w:bottom w:w="0" w:type="dxa"/>
            </w:tcMar>
            <w:vAlign w:val="center"/>
          </w:tcPr>
          <w:p>
            <w:pPr>
              <w:pStyle w:val="TableContents"/>
              <w:bidi w:val="0"/>
              <w:spacing w:before="0" w:after="283"/>
              <w:jc w:val="left"/>
              <w:rPr/>
            </w:pPr>
            <w:r>
              <w:rPr/>
              <w:t>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25" w:type="dxa"/>
            <w:tcBorders/>
            <w:shd w:fill="FFFFFF" w:val="clear"/>
            <w:tcMar>
              <w:bottom w:w="0" w:type="dxa"/>
            </w:tcMar>
            <w:vAlign w:val="center"/>
          </w:tcPr>
          <w:p>
            <w:pPr>
              <w:pStyle w:val="TableContents"/>
              <w:bidi w:val="0"/>
              <w:spacing w:before="0" w:after="283"/>
              <w:jc w:val="left"/>
              <w:rPr/>
            </w:pPr>
            <w:hyperlink w:anchor="ea030403601ex10-1.htm">
              <w:r>
                <w:rPr>
                  <w:rStyle w:val="InternetLink"/>
                </w:rPr>
                <w:t>Sales Agreement, dated August 31, 2026, by and between the Company and the Sales Agent</w:t>
              </w:r>
            </w:hyperlink>
          </w:p>
        </w:tc>
      </w:tr>
      <w:tr>
        <w:trPr/>
        <w:tc>
          <w:tcPr>
            <w:tcW w:w="1205" w:type="dxa"/>
            <w:tcBorders/>
            <w:shd w:fill="CCEEFF" w:val="clear"/>
            <w:tcMar>
              <w:bottom w:w="0" w:type="dxa"/>
            </w:tcMar>
            <w:vAlign w:val="center"/>
          </w:tcPr>
          <w:p>
            <w:pPr>
              <w:pStyle w:val="TableContents"/>
              <w:bidi w:val="0"/>
              <w:spacing w:before="0" w:after="283"/>
              <w:jc w:val="left"/>
              <w:rPr/>
            </w:pPr>
            <w:r>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25" w:type="dxa"/>
            <w:tcBorders/>
            <w:shd w:fill="CCEEFF" w:val="clear"/>
            <w:tcMar>
              <w:bottom w:w="0" w:type="dxa"/>
            </w:tcMar>
            <w:vAlign w:val="center"/>
          </w:tcPr>
          <w:p>
            <w:pPr>
              <w:pStyle w:val="TableContents"/>
              <w:bidi w:val="0"/>
              <w:spacing w:before="0" w:after="283"/>
              <w:jc w:val="left"/>
              <w:rPr/>
            </w:pPr>
            <w:hyperlink w:anchor="ea030403601ex5-1.htm">
              <w:r>
                <w:rPr>
                  <w:rStyle w:val="InternetLink"/>
                </w:rPr>
                <w:t>Consent of Ogier, Cayman Islands counsel to the Company (included in Exhibit 5.1)</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7605" w:type="dxa"/>
        <w:jc w:val="left"/>
        <w:tblInd w:w="0" w:type="dxa"/>
        <w:tblLayout w:type="fixed"/>
        <w:tblCellMar>
          <w:top w:w="0" w:type="dxa"/>
          <w:left w:w="0" w:type="dxa"/>
          <w:bottom w:w="0" w:type="dxa"/>
          <w:right w:w="0" w:type="dxa"/>
        </w:tblCellMar>
      </w:tblPr>
      <w:tblGrid>
        <w:gridCol w:w="2195"/>
        <w:gridCol w:w="710"/>
        <w:gridCol w:w="4700"/>
      </w:tblGrid>
      <w:tr>
        <w:trPr/>
        <w:tc>
          <w:tcPr>
            <w:tcW w:w="2195" w:type="dxa"/>
            <w:tcBorders/>
            <w:vAlign w:val="center"/>
          </w:tcPr>
          <w:p>
            <w:pPr>
              <w:pStyle w:val="TableContents"/>
              <w:bidi w:val="0"/>
              <w:spacing w:before="0" w:after="283"/>
              <w:jc w:val="left"/>
              <w:rPr/>
            </w:pPr>
            <w:r>
              <w:rPr/>
              <w:t> </w:t>
            </w:r>
          </w:p>
        </w:tc>
        <w:tc>
          <w:tcPr>
            <w:tcW w:w="5410" w:type="dxa"/>
            <w:gridSpan w:val="2"/>
            <w:tcBorders/>
            <w:vAlign w:val="center"/>
          </w:tcPr>
          <w:p>
            <w:pPr>
              <w:pStyle w:val="TableContents"/>
              <w:bidi w:val="0"/>
              <w:spacing w:before="0" w:after="283"/>
              <w:jc w:val="left"/>
              <w:rPr>
                <w:b/>
              </w:rPr>
            </w:pPr>
            <w:r>
              <w:rPr>
                <w:b/>
              </w:rPr>
              <w:t>Golden Heaven Group Holding Ltd.</w:t>
            </w:r>
          </w:p>
        </w:tc>
      </w:tr>
      <w:tr>
        <w:trPr/>
        <w:tc>
          <w:tcPr>
            <w:tcW w:w="219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Date: August 31, 2026</w:t>
            </w:r>
          </w:p>
        </w:tc>
        <w:tc>
          <w:tcPr>
            <w:tcW w:w="710" w:type="dxa"/>
            <w:tcBorders/>
            <w:vAlign w:val="center"/>
          </w:tcPr>
          <w:p>
            <w:pPr>
              <w:pStyle w:val="TableContents"/>
              <w:bidi w:val="0"/>
              <w:spacing w:before="0" w:after="283"/>
              <w:jc w:val="left"/>
              <w:rPr/>
            </w:pPr>
            <w:r>
              <w:rPr/>
              <w:t>By:</w:t>
            </w:r>
          </w:p>
        </w:tc>
        <w:tc>
          <w:tcPr>
            <w:tcW w:w="4700" w:type="dxa"/>
            <w:tcBorders>
              <w:bottom w:val="single" w:sz="12" w:space="0" w:color="000000"/>
            </w:tcBorders>
            <w:tcMar>
              <w:bottom w:w="28" w:type="dxa"/>
            </w:tcMar>
            <w:vAlign w:val="center"/>
          </w:tcPr>
          <w:p>
            <w:pPr>
              <w:pStyle w:val="TableContents"/>
              <w:bidi w:val="0"/>
              <w:spacing w:before="0" w:after="283"/>
              <w:jc w:val="left"/>
              <w:rPr/>
            </w:pPr>
            <w:r>
              <w:rPr/>
              <w:t xml:space="preserve">/s/ </w:t>
            </w:r>
            <w:r>
              <w:rPr>
                <w:i/>
              </w:rPr>
              <w:t>Jin Xu</w:t>
            </w:r>
          </w:p>
        </w:tc>
      </w:tr>
      <w:tr>
        <w:trPr/>
        <w:tc>
          <w:tcPr>
            <w:tcW w:w="219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4700" w:type="dxa"/>
            <w:tcBorders/>
            <w:vAlign w:val="center"/>
          </w:tcPr>
          <w:p>
            <w:pPr>
              <w:pStyle w:val="TableContents"/>
              <w:bidi w:val="0"/>
              <w:spacing w:before="0" w:after="283"/>
              <w:jc w:val="left"/>
              <w:rPr/>
            </w:pPr>
            <w:r>
              <w:rPr/>
              <w:t>Jin Xu</w:t>
            </w:r>
          </w:p>
        </w:tc>
      </w:tr>
      <w:tr>
        <w:trPr/>
        <w:tc>
          <w:tcPr>
            <w:tcW w:w="219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4700" w:type="dxa"/>
            <w:tcBorders/>
            <w:vAlign w:val="center"/>
          </w:tcPr>
          <w:p>
            <w:pPr>
              <w:pStyle w:val="TableContents"/>
              <w:bidi w:val="0"/>
              <w:spacing w:before="0" w:after="283"/>
              <w:jc w:val="left"/>
              <w:rPr/>
            </w:pPr>
            <w:r>
              <w:rPr/>
              <w:t xml:space="preserve">Chief Executive Officer, </w:t>
              <w:br/>
              <w:t>Chairman of the Board of Directors, and Director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403601ex5-1.htm"/>
      <w:bookmarkStart w:id="3" w:name="ksea030403601ex51"/>
      <w:bookmarkEnd w:id="2"/>
      <w:bookmarkEnd w:id="3"/>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239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7"/>
                    <a:stretch>
                      <a:fillRect/>
                    </a:stretch>
                  </pic:blipFill>
                  <pic:spPr bwMode="auto">
                    <a:xfrm>
                      <a:off x="0" y="0"/>
                      <a:ext cx="1123950" cy="45720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3215"/>
        <w:gridCol w:w="60"/>
        <w:gridCol w:w="3140"/>
      </w:tblGrid>
      <w:tr>
        <w:trPr/>
        <w:tc>
          <w:tcPr>
            <w:tcW w:w="321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Golden Heaven Group Holdings Ltd. </w:t>
            </w:r>
          </w:p>
          <w:p>
            <w:pPr>
              <w:pStyle w:val="TableContents"/>
              <w:bidi w:val="0"/>
              <w:spacing w:before="0" w:after="0"/>
              <w:ind w:left="0" w:right="0" w:hanging="0"/>
              <w:jc w:val="left"/>
              <w:rPr>
                <w:rFonts w:eastAsia="Times New Roman;Times;Serif"/>
                <w:b/>
                <w:i w:val="false"/>
                <w:caps w:val="false"/>
                <w:smallCaps w:val="false"/>
                <w:sz w:val="20"/>
              </w:rPr>
            </w:pPr>
            <w:r>
              <w:rPr>
                <w:rFonts w:eastAsia="Times New Roman;Times;Serif"/>
                <w:b/>
                <w:i w:val="false"/>
                <w:caps w:val="false"/>
                <w:smallCaps w:val="false"/>
                <w:sz w:val="20"/>
              </w:rPr>
              <w:t>金色乐园集团控股有限公司</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Ogier Global (Cayman) Limited, 89</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Nexus Way, Camana Bay, Grand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KY1-9009, Cayman Islands</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+852 3656 6054 / +852 3656 6073</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nathan.powell@ogier.com</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i w:val="false"/>
                <w:caps w:val="false"/>
                <w:smallCaps w:val="false"/>
                <w:sz w:val="20"/>
              </w:rPr>
              <w:t>rachel.huang@ogier.com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NMP/RYH/502469.00002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 August 2026</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i w:val="false"/>
          <w:caps w:val="false"/>
          <w:smallCaps w:val="false"/>
          <w:sz w:val="20"/>
        </w:rPr>
        <w:t xml:space="preserve">Golden Heaven Group Holdings Ltd. </w:t>
      </w:r>
      <w:r>
        <w:rPr>
          <w:rFonts w:eastAsia="Times New Roman;Times;Serif"/>
          <w:b/>
          <w:i w:val="false"/>
          <w:caps w:val="false"/>
          <w:smallCaps w:val="false"/>
          <w:sz w:val="20"/>
        </w:rPr>
        <w:t xml:space="preserve">金色乐园集团控股有限公司 </w:t>
      </w:r>
      <w:r>
        <w:rPr>
          <w:rFonts w:ascii="Times New Roman;Times;Serif" w:hAnsi="Times New Roman;Times;Serif"/>
          <w:b/>
          <w:i w:val="false"/>
          <w:caps w:val="false"/>
          <w:smallCaps w:val="false"/>
          <w:sz w:val="20"/>
        </w:rPr>
        <w:t>(Company)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been requested to provide you with an opinion on matters of Cayman Islands law in connection with a supplement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xml:space="preserve">) to the base prospectus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xml:space="preserve">) filed in connection with the Company’s registration statement on Form F-3 (File No. 333-292462), including all amendments or supplements thereto (including its exhibits, the Prospectus and the Prospectus Supplement,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filed with the United States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under the United States Securities Act of 1933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xml:space="preserve">), as amended, related to the offering and sale of up to US$50,000,000 worth of Class A ordinary shares of par value US$0.00001 each in the capital of the Company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pursuant to the terms of the Documents (as defined in Schedule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given in accordance with the terms of the Legal Matters section of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contrary intention appears, all capitalised terms used in this opinion have the respective meanings set forth in Schedule 1. A reference to a Schedule is a reference to a schedule to this opinion and the headings herein are for convenience only and do not affect the construction of this opinion.</w:t>
      </w:r>
    </w:p>
    <w:p>
      <w:pPr>
        <w:pStyle w:val="TextBody"/>
        <w:bidi w:val="0"/>
        <w:spacing w:before="0" w:after="0"/>
        <w:ind w:left="709" w:right="0" w:hanging="709"/>
        <w:jc w:val="both"/>
        <w:rPr>
          <w:caps w:val="false"/>
          <w:smallCaps w:val="false"/>
        </w:rPr>
      </w:pPr>
      <w:r>
        <w:rPr>
          <w:caps w:val="false"/>
          <w:smallCaps w:val="false"/>
        </w:rPr>
        <w:t> </w:t>
      </w:r>
    </w:p>
    <w:tbl>
      <w:tblPr>
        <w:tblW w:w="2268" w:type="dxa"/>
        <w:jc w:val="left"/>
        <w:tblInd w:w="0" w:type="dxa"/>
        <w:tblLayout w:type="fixed"/>
        <w:tblCellMar>
          <w:top w:w="0" w:type="dxa"/>
          <w:left w:w="0" w:type="dxa"/>
          <w:bottom w:w="0" w:type="dxa"/>
          <w:right w:w="0" w:type="dxa"/>
        </w:tblCellMar>
      </w:tblPr>
      <w:tblGrid>
        <w:gridCol w:w="38"/>
        <w:gridCol w:w="14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2090" w:type="dxa"/>
            <w:tcBorders/>
            <w:vAlign w:val="center"/>
          </w:tcPr>
          <w:p>
            <w:pPr>
              <w:pStyle w:val="TableContents"/>
              <w:bidi w:val="0"/>
              <w:spacing w:before="0" w:after="283"/>
              <w:jc w:val="both"/>
              <w:rPr/>
            </w:pPr>
            <w:r>
              <w:rPr/>
              <w:t>Documents examined</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giving this opinion, we have examined copies of the documents listed in Part B of Schedule 1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 In addition, we have examined the corporate and other documents and conducted the searches listed in Part A of Schedule 1. We have not made any searches or enquiries concerning, and have not examined any documents entered into by or affecting the Company or any other person, save for the searches, enquiries and examinations expressly referred to in Schedule 1.</w:t>
      </w:r>
    </w:p>
    <w:p>
      <w:pPr>
        <w:pStyle w:val="TextBody"/>
        <w:bidi w:val="0"/>
        <w:spacing w:before="0" w:after="0"/>
        <w:ind w:left="709" w:right="0" w:hanging="709"/>
        <w:jc w:val="both"/>
        <w:rPr>
          <w:caps w:val="false"/>
          <w:smallCaps w:val="false"/>
        </w:rPr>
      </w:pPr>
      <w:r>
        <w:rPr>
          <w:caps w:val="false"/>
          <w:smallCaps w:val="false"/>
        </w:rPr>
        <w:t> </w:t>
      </w:r>
    </w:p>
    <w:tbl>
      <w:tblPr>
        <w:tblW w:w="1443" w:type="dxa"/>
        <w:jc w:val="left"/>
        <w:tblInd w:w="0" w:type="dxa"/>
        <w:tblLayout w:type="fixed"/>
        <w:tblCellMar>
          <w:top w:w="0" w:type="dxa"/>
          <w:left w:w="0" w:type="dxa"/>
          <w:bottom w:w="0" w:type="dxa"/>
          <w:right w:w="0" w:type="dxa"/>
        </w:tblCellMar>
      </w:tblPr>
      <w:tblGrid>
        <w:gridCol w:w="38"/>
        <w:gridCol w:w="140"/>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265" w:type="dxa"/>
            <w:tcBorders/>
            <w:vAlign w:val="center"/>
          </w:tcPr>
          <w:p>
            <w:pPr>
              <w:pStyle w:val="TableContents"/>
              <w:bidi w:val="0"/>
              <w:spacing w:before="0" w:after="283"/>
              <w:jc w:val="both"/>
              <w:rPr/>
            </w:pPr>
            <w:r>
              <w:rPr/>
              <w:t>Assumptions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relied upon the assumptions set forth in Schedule 2 without having carried out any independent investigation or verification in respect of those assumptions.</w:t>
      </w:r>
    </w:p>
    <w:p>
      <w:pPr>
        <w:pStyle w:val="TextBody"/>
        <w:bidi w:val="0"/>
        <w:spacing w:before="0" w:after="0"/>
        <w:ind w:left="709" w:right="0" w:hanging="709"/>
        <w:jc w:val="both"/>
        <w:rPr>
          <w:caps w:val="false"/>
          <w:smallCaps w:val="false"/>
        </w:rPr>
      </w:pPr>
      <w:r>
        <w:rPr>
          <w:caps w:val="false"/>
          <w:smallCaps w:val="false"/>
        </w:rPr>
        <w:t> </w:t>
      </w:r>
    </w:p>
    <w:tbl>
      <w:tblPr>
        <w:tblW w:w="8720" w:type="dxa"/>
        <w:jc w:val="left"/>
        <w:tblInd w:w="0" w:type="dxa"/>
        <w:tblLayout w:type="fixed"/>
        <w:tblCellMar>
          <w:top w:w="0" w:type="dxa"/>
          <w:left w:w="0" w:type="dxa"/>
          <w:bottom w:w="0" w:type="dxa"/>
          <w:right w:w="0" w:type="dxa"/>
        </w:tblCellMar>
      </w:tblPr>
      <w:tblGrid>
        <w:gridCol w:w="3095"/>
        <w:gridCol w:w="1370"/>
        <w:gridCol w:w="1415"/>
        <w:gridCol w:w="2840"/>
      </w:tblGrid>
      <w:tr>
        <w:trPr/>
        <w:tc>
          <w:tcPr>
            <w:tcW w:w="309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Ogier</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Providing advice on British Virgin Islands,</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Cayman Islands</w:t>
              <w:br/>
              <w:t>and Guernsey laws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Floor 11 Central Tower</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 Queen’s Road Central</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Central</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Hong Kong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 +852 3656 6000</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 +852 3656 6001</w:t>
            </w:r>
          </w:p>
          <w:p>
            <w:pPr>
              <w:pStyle w:val="TableContents"/>
              <w:bidi w:val="0"/>
              <w:spacing w:before="0" w:after="0"/>
              <w:ind w:left="0" w:right="0" w:hanging="0"/>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ogier.com</w:t>
            </w:r>
          </w:p>
        </w:tc>
        <w:tc>
          <w:tcPr>
            <w:tcW w:w="137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Partners</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Nicholas Plowman</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Nathan Powell</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Anthony Oakes</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Oliver Payne</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Kate Hodson</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David Nelson</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Joanne Collett</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Dennis Li</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Cecilia Li</w:t>
            </w:r>
          </w:p>
        </w:tc>
        <w:tc>
          <w:tcPr>
            <w:tcW w:w="14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Yuki Yan</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David Lin</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Alan Wong</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Janice Chu</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Zhao Rong Ooi</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Rachel Huang**</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Florence Chan*</w:t>
            </w:r>
            <w:r>
              <w:rPr>
                <w:rFonts w:ascii="Times New Roman;Times;Serif" w:hAnsi="Times New Roman;Times;Serif"/>
                <w:b w:val="false"/>
                <w:i w:val="false"/>
                <w:caps w:val="false"/>
                <w:smallCaps w:val="false"/>
                <w:position w:val="6"/>
                <w:sz w:val="14"/>
                <w:sz w:val="18"/>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Richard Bennett**</w:t>
            </w:r>
            <w:r>
              <w:rPr>
                <w:rFonts w:ascii="Times New Roman;Times;Serif" w:hAnsi="Times New Roman;Times;Serif"/>
                <w:b w:val="false"/>
                <w:i w:val="false"/>
                <w:caps w:val="false"/>
                <w:smallCaps w:val="false"/>
                <w:position w:val="6"/>
                <w:sz w:val="14"/>
                <w:sz w:val="18"/>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James Bergstrom</w:t>
            </w:r>
            <w:r>
              <w:rPr>
                <w:rFonts w:ascii="Times New Roman;Times;Serif" w:hAnsi="Times New Roman;Times;Serif"/>
                <w:b w:val="false"/>
                <w:i w:val="false"/>
                <w:caps w:val="false"/>
                <w:smallCaps w:val="false"/>
                <w:position w:val="6"/>
                <w:sz w:val="14"/>
                <w:sz w:val="18"/>
              </w:rPr>
              <w:t>‡</w:t>
            </w:r>
          </w:p>
        </w:tc>
        <w:tc>
          <w:tcPr>
            <w:tcW w:w="284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admitted in New Zealand</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admitted in England and Wales</w:t>
            </w:r>
          </w:p>
          <w:p>
            <w:pPr>
              <w:pStyle w:val="TableContents"/>
              <w:bidi w:val="0"/>
              <w:spacing w:before="0" w:after="0"/>
              <w:ind w:left="0" w:right="0" w:hanging="0"/>
              <w:jc w:val="both"/>
              <w:rPr>
                <w:caps w:val="false"/>
                <w:smallCaps w:val="false"/>
              </w:rPr>
            </w:pPr>
            <w:r>
              <w:rPr>
                <w:caps w:val="false"/>
                <w:smallCaps w:val="false"/>
                <w:position w:val="8"/>
                <w:sz w:val="19"/>
              </w:rPr>
              <w:t>‡</w:t>
            </w:r>
            <w:r>
              <w:rPr>
                <w:caps w:val="false"/>
                <w:smallCaps w:val="false"/>
              </w:rPr>
              <w:t xml:space="preserve"> </w:t>
            </w:r>
            <w:r>
              <w:rPr>
                <w:rFonts w:ascii="Times New Roman;Times;Serif" w:hAnsi="Times New Roman;Times;Serif"/>
                <w:b w:val="false"/>
                <w:i w:val="false"/>
                <w:caps w:val="false"/>
                <w:smallCaps w:val="false"/>
                <w:sz w:val="18"/>
              </w:rPr>
              <w:t>not ordinarily resident in Hong Kong</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both"/>
        <w:rPr>
          <w:caps w:val="false"/>
          <w:smallCaps w:val="false"/>
        </w:rPr>
      </w:pPr>
      <w:r>
        <w:rPr>
          <w:caps w:val="false"/>
          <w:smallCaps w:val="false"/>
        </w:rPr>
        <w:t> </w:t>
      </w:r>
    </w:p>
    <w:tbl>
      <w:tblPr>
        <w:tblW w:w="1083" w:type="dxa"/>
        <w:jc w:val="left"/>
        <w:tblInd w:w="0" w:type="dxa"/>
        <w:tblLayout w:type="fixed"/>
        <w:tblCellMar>
          <w:top w:w="0" w:type="dxa"/>
          <w:left w:w="0" w:type="dxa"/>
          <w:bottom w:w="0" w:type="dxa"/>
          <w:right w:w="0" w:type="dxa"/>
        </w:tblCellMar>
      </w:tblPr>
      <w:tblGrid>
        <w:gridCol w:w="38"/>
        <w:gridCol w:w="140"/>
        <w:gridCol w:w="90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905" w:type="dxa"/>
            <w:tcBorders/>
            <w:vAlign w:val="center"/>
          </w:tcPr>
          <w:p>
            <w:pPr>
              <w:pStyle w:val="TableContents"/>
              <w:bidi w:val="0"/>
              <w:spacing w:before="0" w:after="283"/>
              <w:jc w:val="both"/>
              <w:rPr/>
            </w:pPr>
            <w:r>
              <w:rPr/>
              <w:t>Opinions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examinations and assumptions referred to above and subject to the qualifications set forth in Schedule 3 and the limitations set forth below, we are of the opinion that: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status</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(a)</w:t>
            </w:r>
          </w:p>
        </w:tc>
        <w:tc>
          <w:tcPr>
            <w:tcW w:w="9932" w:type="dxa"/>
            <w:tcBorders/>
            <w:vAlign w:val="center"/>
          </w:tcPr>
          <w:p>
            <w:pPr>
              <w:pStyle w:val="TableContents"/>
              <w:bidi w:val="0"/>
              <w:spacing w:before="0" w:after="283"/>
              <w:jc w:val="both"/>
              <w:rPr/>
            </w:pPr>
            <w:r>
              <w:rPr/>
              <w:t xml:space="preserve">The Company has been duly incorporated as an exempted company with limited liability and is validly existing and in good standing with the Registrar of Companies of the Cayman Islands (the </w:t>
            </w:r>
            <w:r>
              <w:rPr>
                <w:b/>
              </w:rPr>
              <w:t>Registrar</w:t>
            </w:r>
            <w:r>
              <w:rPr/>
              <w:t>).</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Shares</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(b)</w:t>
            </w:r>
          </w:p>
        </w:tc>
        <w:tc>
          <w:tcPr>
            <w:tcW w:w="9895" w:type="dxa"/>
            <w:tcBorders/>
            <w:vAlign w:val="center"/>
          </w:tcPr>
          <w:p>
            <w:pPr>
              <w:pStyle w:val="TableContents"/>
              <w:bidi w:val="0"/>
              <w:spacing w:before="0" w:after="283"/>
              <w:jc w:val="both"/>
              <w:rPr/>
            </w:pPr>
            <w:r>
              <w:rPr/>
              <w:t>The Shares to be offered and issued by the Company as contemplated by the Prospectus Supplement, when issued by the Company:</w:t>
            </w:r>
          </w:p>
        </w:tc>
      </w:tr>
    </w:tbl>
    <w:p>
      <w:pPr>
        <w:pStyle w:val="TextBody"/>
        <w:bidi w:val="0"/>
        <w:spacing w:before="0" w:after="0"/>
        <w:ind w:left="2126" w:right="0" w:hanging="708"/>
        <w:jc w:val="both"/>
        <w:rPr>
          <w:caps w:val="false"/>
          <w:smallCaps w:val="false"/>
        </w:rPr>
      </w:pPr>
      <w:r>
        <w:rPr>
          <w:caps w:val="false"/>
          <w:smallCaps w:val="false"/>
        </w:rPr>
        <w:t> </w:t>
      </w:r>
    </w:p>
    <w:tbl>
      <w:tblPr>
        <w:tblW w:w="9573" w:type="dxa"/>
        <w:jc w:val="left"/>
        <w:tblInd w:w="0" w:type="dxa"/>
        <w:tblLayout w:type="fixed"/>
        <w:tblCellMar>
          <w:top w:w="0" w:type="dxa"/>
          <w:left w:w="0" w:type="dxa"/>
          <w:bottom w:w="0" w:type="dxa"/>
          <w:right w:w="0" w:type="dxa"/>
        </w:tblCellMar>
      </w:tblPr>
      <w:tblGrid>
        <w:gridCol w:w="38"/>
        <w:gridCol w:w="230"/>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9305" w:type="dxa"/>
            <w:tcBorders/>
            <w:vAlign w:val="center"/>
          </w:tcPr>
          <w:p>
            <w:pPr>
              <w:pStyle w:val="TableContents"/>
              <w:bidi w:val="0"/>
              <w:spacing w:before="0" w:after="283"/>
              <w:jc w:val="both"/>
              <w:rPr/>
            </w:pPr>
            <w:r>
              <w:rPr/>
              <w:t>upon payment in full of the consideration as set out in Prospectus Supplement and the Documents;</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(ii)</w:t>
            </w:r>
          </w:p>
        </w:tc>
        <w:tc>
          <w:tcPr>
            <w:tcW w:w="9896" w:type="dxa"/>
            <w:tcBorders/>
            <w:vAlign w:val="center"/>
          </w:tcPr>
          <w:p>
            <w:pPr>
              <w:pStyle w:val="TableContents"/>
              <w:bidi w:val="0"/>
              <w:spacing w:before="0" w:after="283"/>
              <w:jc w:val="both"/>
              <w:rPr/>
            </w:pPr>
            <w:r>
              <w:rPr/>
              <w:t>in accordance with the Prospectus Supplement, the Documents, the Resolutions and the Memorandum and Articles of Association; and</w:t>
            </w:r>
          </w:p>
        </w:tc>
      </w:tr>
    </w:tbl>
    <w:p>
      <w:pPr>
        <w:pStyle w:val="TextBody"/>
        <w:bidi w:val="0"/>
        <w:spacing w:before="0" w:after="0"/>
        <w:ind w:left="2126" w:right="0" w:hanging="708"/>
        <w:jc w:val="both"/>
        <w:rPr>
          <w:caps w:val="false"/>
          <w:smallCaps w:val="false"/>
        </w:rPr>
      </w:pPr>
      <w:r>
        <w:rPr>
          <w:caps w:val="false"/>
          <w:smallCaps w:val="false"/>
        </w:rPr>
        <w:t> </w:t>
      </w:r>
    </w:p>
    <w:tbl>
      <w:tblPr>
        <w:tblW w:w="8718" w:type="dxa"/>
        <w:jc w:val="left"/>
        <w:tblInd w:w="0" w:type="dxa"/>
        <w:tblLayout w:type="fixed"/>
        <w:tblCellMar>
          <w:top w:w="0" w:type="dxa"/>
          <w:left w:w="0" w:type="dxa"/>
          <w:bottom w:w="0" w:type="dxa"/>
          <w:right w:w="0" w:type="dxa"/>
        </w:tblCellMar>
      </w:tblPr>
      <w:tblGrid>
        <w:gridCol w:w="38"/>
        <w:gridCol w:w="350"/>
        <w:gridCol w:w="833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8330" w:type="dxa"/>
            <w:tcBorders/>
            <w:vAlign w:val="center"/>
          </w:tcPr>
          <w:p>
            <w:pPr>
              <w:pStyle w:val="TableContents"/>
              <w:bidi w:val="0"/>
              <w:spacing w:before="0" w:after="283"/>
              <w:jc w:val="both"/>
              <w:rPr/>
            </w:pPr>
            <w:r>
              <w:rPr/>
              <w:t>upon the entry of those Shares as fully paid on the register of members of the Company,</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be validly issued, fully paid and non-assessable.</w:t>
      </w:r>
    </w:p>
    <w:p>
      <w:pPr>
        <w:pStyle w:val="TextBody"/>
        <w:bidi w:val="0"/>
        <w:spacing w:before="0" w:after="0"/>
        <w:ind w:left="709" w:right="0" w:hanging="709"/>
        <w:jc w:val="both"/>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38"/>
        <w:gridCol w:w="14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910" w:type="dxa"/>
            <w:tcBorders/>
            <w:vAlign w:val="center"/>
          </w:tcPr>
          <w:p>
            <w:pPr>
              <w:pStyle w:val="TableContents"/>
              <w:bidi w:val="0"/>
              <w:spacing w:before="0" w:after="283"/>
              <w:jc w:val="both"/>
              <w:rPr/>
            </w:pPr>
            <w:r>
              <w:rPr/>
              <w:t>Matters not covered</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no opinion:</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both"/>
              <w:rPr/>
            </w:pPr>
            <w:r>
              <w:rPr/>
              <w:t>as to any laws other than the laws of the Cayman Islands, and we have not, for the purposes of this opinion, made any investigation of the laws of any other jurisdiction, and we express no opinion as to the meaning, validity, or effect of references in any document to statutes, rules, regulations, codes or judicial authority of any jurisdiction other than the Cayman Islands;</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(b)</w:t>
            </w:r>
          </w:p>
        </w:tc>
        <w:tc>
          <w:tcPr>
            <w:tcW w:w="9940" w:type="dxa"/>
            <w:tcBorders/>
            <w:vAlign w:val="center"/>
          </w:tcPr>
          <w:p>
            <w:pPr>
              <w:pStyle w:val="TableContents"/>
              <w:bidi w:val="0"/>
              <w:spacing w:before="0" w:after="283"/>
              <w:jc w:val="both"/>
              <w:rPr/>
            </w:pPr>
            <w:r>
              <w:rPr/>
              <w:t>except to the extent that this opinion expressly provides otherwise, as to the commercial terms of, or the validity, enforceability or effect of the documents reviewed (or as to how the commercial terms of such documents reflect the intentions of the parties), the accuracy of representations, the fulfilment of warranties or conditions, the occurrence of events of default or terminating events or the existence of any conflicts or inconsistencies among the documents and any other agreements into which the Company may have entered or any other documents;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(c)</w:t>
            </w:r>
          </w:p>
        </w:tc>
        <w:tc>
          <w:tcPr>
            <w:tcW w:w="9947" w:type="dxa"/>
            <w:tcBorders/>
            <w:vAlign w:val="center"/>
          </w:tcPr>
          <w:p>
            <w:pPr>
              <w:pStyle w:val="TableContents"/>
              <w:bidi w:val="0"/>
              <w:spacing w:before="0" w:after="283"/>
              <w:jc w:val="both"/>
              <w:rPr/>
            </w:pPr>
            <w:r>
              <w:rPr/>
              <w:t>as to whether the acceptance, execution or performance of the Company’s obligations under the documents reviewed by us will result in the breach of or infringe any other agreement, deed or document (other than, to the extent expressly provided herein, the Memorandum and Articles of Association) entered into by or binding on the Company.</w:t>
            </w:r>
          </w:p>
        </w:tc>
      </w:tr>
    </w:tbl>
    <w:p>
      <w:pPr>
        <w:pStyle w:val="TextBody"/>
        <w:bidi w:val="0"/>
        <w:spacing w:before="0" w:after="0"/>
        <w:ind w:left="709" w:right="0" w:hanging="709"/>
        <w:jc w:val="both"/>
        <w:rPr>
          <w:caps w:val="false"/>
          <w:smallCaps w:val="false"/>
        </w:rPr>
      </w:pPr>
      <w:r>
        <w:rPr>
          <w:caps w:val="false"/>
          <w:smallCaps w:val="false"/>
        </w:rPr>
        <w:t> </w:t>
      </w:r>
    </w:p>
    <w:tbl>
      <w:tblPr>
        <w:tblW w:w="3063" w:type="dxa"/>
        <w:jc w:val="left"/>
        <w:tblInd w:w="0" w:type="dxa"/>
        <w:tblLayout w:type="fixed"/>
        <w:tblCellMar>
          <w:top w:w="0" w:type="dxa"/>
          <w:left w:w="0" w:type="dxa"/>
          <w:bottom w:w="0" w:type="dxa"/>
          <w:right w:w="0" w:type="dxa"/>
        </w:tblCellMar>
      </w:tblPr>
      <w:tblGrid>
        <w:gridCol w:w="38"/>
        <w:gridCol w:w="140"/>
        <w:gridCol w:w="288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2885" w:type="dxa"/>
            <w:tcBorders/>
            <w:vAlign w:val="center"/>
          </w:tcPr>
          <w:p>
            <w:pPr>
              <w:pStyle w:val="TableContents"/>
              <w:bidi w:val="0"/>
              <w:spacing w:before="0" w:after="283"/>
              <w:jc w:val="both"/>
              <w:rPr/>
            </w:pPr>
            <w:r>
              <w:rPr/>
              <w:t>Governing law of this opinion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752"/>
        <w:gridCol w:w="8245"/>
      </w:tblGrid>
      <w:tr>
        <w:trPr/>
        <w:tc>
          <w:tcPr>
            <w:tcW w:w="208"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pPr>
            <w:r>
              <w:rPr/>
              <w:t>5.1</w:t>
            </w:r>
          </w:p>
        </w:tc>
        <w:tc>
          <w:tcPr>
            <w:tcW w:w="8245" w:type="dxa"/>
            <w:tcBorders/>
            <w:vAlign w:val="center"/>
          </w:tcPr>
          <w:p>
            <w:pPr>
              <w:pStyle w:val="TableContents"/>
              <w:bidi w:val="0"/>
              <w:spacing w:before="0" w:after="283"/>
              <w:jc w:val="both"/>
              <w:rPr/>
            </w:pPr>
            <w:r>
              <w:rPr/>
              <w:t>This opinion is:</w:t>
            </w:r>
          </w:p>
        </w:tc>
      </w:tr>
    </w:tbl>
    <w:p>
      <w:pPr>
        <w:pStyle w:val="TextBody"/>
        <w:bidi w:val="0"/>
        <w:spacing w:before="0" w:after="0"/>
        <w:ind w:left="1418" w:right="0" w:hanging="709"/>
        <w:jc w:val="both"/>
        <w:rPr>
          <w:caps w:val="false"/>
          <w:smallCaps w:val="false"/>
        </w:rPr>
      </w:pPr>
      <w:r>
        <w:rPr>
          <w:caps w:val="false"/>
          <w:smallCaps w:val="false"/>
        </w:rPr>
        <w:t> </w:t>
      </w:r>
    </w:p>
    <w:tbl>
      <w:tblPr>
        <w:tblW w:w="8733" w:type="dxa"/>
        <w:jc w:val="left"/>
        <w:tblInd w:w="0" w:type="dxa"/>
        <w:tblLayout w:type="fixed"/>
        <w:tblCellMar>
          <w:top w:w="0" w:type="dxa"/>
          <w:left w:w="0" w:type="dxa"/>
          <w:bottom w:w="0" w:type="dxa"/>
          <w:right w:w="0" w:type="dxa"/>
        </w:tblCellMar>
      </w:tblPr>
      <w:tblGrid>
        <w:gridCol w:w="38"/>
        <w:gridCol w:w="275"/>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8420" w:type="dxa"/>
            <w:tcBorders/>
            <w:vAlign w:val="center"/>
          </w:tcPr>
          <w:p>
            <w:pPr>
              <w:pStyle w:val="TableContents"/>
              <w:bidi w:val="0"/>
              <w:spacing w:before="0" w:after="283"/>
              <w:jc w:val="both"/>
              <w:rPr/>
            </w:pPr>
            <w:r>
              <w:rPr/>
              <w:t>governed by, and shall be construed in accordance with, the laws of the Cayman Islands;</w:t>
            </w:r>
          </w:p>
        </w:tc>
      </w:tr>
    </w:tbl>
    <w:p>
      <w:pPr>
        <w:pStyle w:val="TextBody"/>
        <w:bidi w:val="0"/>
        <w:spacing w:before="0" w:after="0"/>
        <w:ind w:left="1418" w:right="0" w:hanging="709"/>
        <w:jc w:val="both"/>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290"/>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4430" w:type="dxa"/>
            <w:tcBorders/>
            <w:vAlign w:val="center"/>
          </w:tcPr>
          <w:p>
            <w:pPr>
              <w:pStyle w:val="TableContents"/>
              <w:bidi w:val="0"/>
              <w:spacing w:before="0" w:after="283"/>
              <w:jc w:val="both"/>
              <w:rPr/>
            </w:pPr>
            <w:r>
              <w:rPr/>
              <w:t>limited to the matters expressly stated in it; and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(c)</w:t>
            </w:r>
          </w:p>
        </w:tc>
        <w:tc>
          <w:tcPr>
            <w:tcW w:w="9896" w:type="dxa"/>
            <w:tcBorders/>
            <w:vAlign w:val="center"/>
          </w:tcPr>
          <w:p>
            <w:pPr>
              <w:pStyle w:val="TableContents"/>
              <w:bidi w:val="0"/>
              <w:spacing w:before="0" w:after="283"/>
              <w:jc w:val="both"/>
              <w:rPr/>
            </w:pPr>
            <w:r>
              <w:rPr/>
              <w:t>confined to, and given on the basis of, the laws and practice in the Cayman Islands at the date of this opinion.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9848" w:type="dxa"/>
            <w:tcBorders/>
            <w:vAlign w:val="center"/>
          </w:tcPr>
          <w:p>
            <w:pPr>
              <w:pStyle w:val="TableContents"/>
              <w:bidi w:val="0"/>
              <w:spacing w:before="0" w:after="283"/>
              <w:jc w:val="both"/>
              <w:rPr/>
            </w:pPr>
            <w:r>
              <w:rPr/>
              <w:t>Unless otherwise indicated, a reference to any specific Cayman Islands legislation is a reference to that legislation as amended to, and as in force at, the date of this opinion.</w:t>
            </w:r>
          </w:p>
        </w:tc>
      </w:tr>
    </w:tbl>
    <w:p>
      <w:pPr>
        <w:pStyle w:val="TextBody"/>
        <w:bidi w:val="0"/>
        <w:spacing w:before="0" w:after="0"/>
        <w:ind w:left="709" w:right="0" w:hanging="709"/>
        <w:jc w:val="both"/>
        <w:rPr>
          <w:caps w:val="false"/>
          <w:smallCaps w:val="false"/>
        </w:rPr>
      </w:pPr>
      <w:r>
        <w:rPr>
          <w:caps w:val="false"/>
          <w:smallCaps w:val="false"/>
        </w:rPr>
        <w:t> </w:t>
      </w:r>
    </w:p>
    <w:tbl>
      <w:tblPr>
        <w:tblW w:w="993" w:type="dxa"/>
        <w:jc w:val="left"/>
        <w:tblInd w:w="0" w:type="dxa"/>
        <w:tblLayout w:type="fixed"/>
        <w:tblCellMar>
          <w:top w:w="0" w:type="dxa"/>
          <w:left w:w="0" w:type="dxa"/>
          <w:bottom w:w="0" w:type="dxa"/>
          <w:right w:w="0" w:type="dxa"/>
        </w:tblCellMar>
      </w:tblPr>
      <w:tblGrid>
        <w:gridCol w:w="38"/>
        <w:gridCol w:w="140"/>
        <w:gridCol w:w="81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6</w:t>
            </w:r>
          </w:p>
        </w:tc>
        <w:tc>
          <w:tcPr>
            <w:tcW w:w="815" w:type="dxa"/>
            <w:tcBorders/>
            <w:vAlign w:val="center"/>
          </w:tcPr>
          <w:p>
            <w:pPr>
              <w:pStyle w:val="TableContents"/>
              <w:bidi w:val="0"/>
              <w:spacing w:before="0" w:after="283"/>
              <w:jc w:val="both"/>
              <w:rPr/>
            </w:pPr>
            <w:r>
              <w:rPr/>
              <w:t>Consent</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also consent to the reference to this firm in the Registration Statement under the heading “Legal Matters”. In the giving of our consent, we do not thereby admit that we are in the category of persons whose consent is required under Section 7 of the Act or the Rules and Regulations of the Commission thereunder.</w:t>
      </w:r>
    </w:p>
    <w:p>
      <w:pPr>
        <w:pStyle w:val="TextBody"/>
        <w:bidi w:val="0"/>
        <w:spacing w:before="0" w:after="0"/>
        <w:ind w:left="0" w:right="0" w:hanging="0"/>
        <w:jc w:val="both"/>
        <w:rPr>
          <w:caps w:val="false"/>
          <w:smallCaps w:val="false"/>
        </w:rPr>
      </w:pPr>
      <w:r>
        <w:rPr>
          <w:caps w:val="false"/>
          <w:smallCaps w:val="false"/>
        </w:rPr>
        <w:t> </w:t>
      </w:r>
    </w:p>
    <w:tbl>
      <w:tblPr>
        <w:tblW w:w="1400" w:type="dxa"/>
        <w:jc w:val="left"/>
        <w:tblInd w:w="0" w:type="dxa"/>
        <w:tblLayout w:type="fixed"/>
        <w:tblCellMar>
          <w:top w:w="0" w:type="dxa"/>
          <w:left w:w="0" w:type="dxa"/>
          <w:bottom w:w="0" w:type="dxa"/>
          <w:right w:w="0" w:type="dxa"/>
        </w:tblCellMar>
      </w:tblPr>
      <w:tblGrid>
        <w:gridCol w:w="1325"/>
        <w:gridCol w:w="75"/>
      </w:tblGrid>
      <w:tr>
        <w:trPr/>
        <w:tc>
          <w:tcPr>
            <w:tcW w:w="1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Yours faithfully</w:t>
            </w:r>
          </w:p>
        </w:tc>
        <w:tc>
          <w:tcPr>
            <w:tcW w:w="75" w:type="dxa"/>
            <w:tcBorders/>
            <w:vAlign w:val="center"/>
          </w:tcPr>
          <w:p>
            <w:pPr>
              <w:pStyle w:val="TableContents"/>
              <w:bidi w:val="0"/>
              <w:spacing w:before="0" w:after="283"/>
              <w:jc w:val="both"/>
              <w:rPr/>
            </w:pPr>
            <w:r>
              <w:rPr/>
              <w:t> </w:t>
            </w:r>
          </w:p>
        </w:tc>
      </w:tr>
      <w:tr>
        <w:trPr/>
        <w:tc>
          <w:tcPr>
            <w:tcW w:w="132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132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Ogier</w:t>
            </w:r>
          </w:p>
        </w:tc>
        <w:tc>
          <w:tcPr>
            <w:tcW w:w="75" w:type="dxa"/>
            <w:tcBorders/>
            <w:vAlign w:val="center"/>
          </w:tcPr>
          <w:p>
            <w:pPr>
              <w:pStyle w:val="TableContents"/>
              <w:bidi w:val="0"/>
              <w:spacing w:before="0" w:after="283"/>
              <w:jc w:val="both"/>
              <w:rPr/>
            </w:pPr>
            <w:r>
              <w:rPr/>
              <w:t> </w:t>
            </w:r>
          </w:p>
        </w:tc>
      </w:tr>
      <w:tr>
        <w:trPr/>
        <w:tc>
          <w:tcPr>
            <w:tcW w:w="13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Ogier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A – corporate and other documents</w:t>
      </w:r>
    </w:p>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7" w:type="dxa"/>
            <w:tcBorders/>
            <w:vAlign w:val="center"/>
          </w:tcPr>
          <w:p>
            <w:pPr>
              <w:pStyle w:val="TableContents"/>
              <w:bidi w:val="0"/>
              <w:spacing w:before="0" w:after="283"/>
              <w:jc w:val="both"/>
              <w:rPr/>
            </w:pPr>
            <w:r>
              <w:rPr/>
              <w:t xml:space="preserve">The Certificate of Incorporation of the Company dated 8 January 2020 issued by the Registrar (the </w:t>
            </w:r>
            <w:r>
              <w:rPr>
                <w:b/>
              </w:rPr>
              <w:t>Certificate of Incorporation</w:t>
            </w:r>
            <w:r>
              <w:rPr/>
              <w: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7" w:type="dxa"/>
            <w:tcBorders/>
            <w:vAlign w:val="center"/>
          </w:tcPr>
          <w:p>
            <w:pPr>
              <w:pStyle w:val="TableContents"/>
              <w:bidi w:val="0"/>
              <w:spacing w:before="0" w:after="283"/>
              <w:jc w:val="both"/>
              <w:rPr/>
            </w:pPr>
            <w:r>
              <w:rPr/>
              <w:t xml:space="preserve">The tenth amended and restated memorandum and articles of association of the Company adopted by way of special resolution passed by shareholders of the Company on 3 March 2026 (the </w:t>
            </w:r>
            <w:r>
              <w:rPr>
                <w:b/>
              </w:rPr>
              <w:t>Memorandum</w:t>
            </w:r>
            <w:r>
              <w:rPr/>
              <w:t xml:space="preserve"> and the </w:t>
            </w:r>
            <w:r>
              <w:rPr>
                <w:b/>
              </w:rPr>
              <w:t>Articles of Association</w:t>
            </w:r>
            <w:r>
              <w:rPr/>
              <w: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7" w:type="dxa"/>
            <w:tcBorders/>
            <w:vAlign w:val="center"/>
          </w:tcPr>
          <w:p>
            <w:pPr>
              <w:pStyle w:val="TableContents"/>
              <w:bidi w:val="0"/>
              <w:spacing w:before="0" w:after="283"/>
              <w:jc w:val="both"/>
              <w:rPr/>
            </w:pPr>
            <w:r>
              <w:rPr/>
              <w:t xml:space="preserve">A Certificate of Good Standing dated 26 August 2026 (the </w:t>
            </w:r>
            <w:r>
              <w:rPr>
                <w:b/>
              </w:rPr>
              <w:t>Good Standing Certificate</w:t>
            </w:r>
            <w:r>
              <w:rPr/>
              <w:t>) issued by the Registrar in respect of the Company.</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7" w:type="dxa"/>
            <w:tcBorders/>
            <w:vAlign w:val="center"/>
          </w:tcPr>
          <w:p>
            <w:pPr>
              <w:pStyle w:val="TableContents"/>
              <w:bidi w:val="0"/>
              <w:spacing w:before="0" w:after="283"/>
              <w:jc w:val="both"/>
              <w:rPr/>
            </w:pPr>
            <w:r>
              <w:rPr/>
              <w:t xml:space="preserve">A certificate dated on the date hereof as to certain matters of fact signed by a director of the Company (the </w:t>
            </w:r>
            <w:r>
              <w:rPr>
                <w:b/>
              </w:rPr>
              <w:t>Director’s Certificate</w:t>
            </w:r>
            <w:r>
              <w:rPr/>
              <w: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7" w:type="dxa"/>
            <w:tcBorders/>
            <w:vAlign w:val="center"/>
          </w:tcPr>
          <w:p>
            <w:pPr>
              <w:pStyle w:val="TableContents"/>
              <w:bidi w:val="0"/>
              <w:spacing w:before="0" w:after="283"/>
              <w:jc w:val="both"/>
              <w:rPr/>
            </w:pPr>
            <w:r>
              <w:rPr/>
              <w:t xml:space="preserve">A copy of the written resolutions of the directors of the Company passed on 31 August 2026 (the </w:t>
            </w:r>
            <w:r>
              <w:rPr>
                <w:b/>
              </w:rPr>
              <w:t>Resolutions</w:t>
            </w:r>
            <w:r>
              <w:rPr/>
              <w: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6</w:t>
            </w:r>
          </w:p>
        </w:tc>
        <w:tc>
          <w:tcPr>
            <w:tcW w:w="10027" w:type="dxa"/>
            <w:tcBorders/>
            <w:vAlign w:val="center"/>
          </w:tcPr>
          <w:p>
            <w:pPr>
              <w:pStyle w:val="TableContents"/>
              <w:bidi w:val="0"/>
              <w:spacing w:before="0" w:after="283"/>
              <w:jc w:val="both"/>
              <w:rPr/>
            </w:pPr>
            <w:r>
              <w:rPr/>
              <w:t xml:space="preserve">The Register of Writs maintained by the office of the Clerk of Courts in the Cayman Islands as inspected by us on 31 August 2026 (the </w:t>
            </w:r>
            <w:r>
              <w:rPr>
                <w:b/>
              </w:rPr>
              <w:t>Register of Writs</w:t>
            </w:r>
            <w:r>
              <w:rPr/>
              <w: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7</w:t>
            </w:r>
          </w:p>
        </w:tc>
        <w:tc>
          <w:tcPr>
            <w:tcW w:w="10027" w:type="dxa"/>
            <w:tcBorders/>
            <w:vAlign w:val="center"/>
          </w:tcPr>
          <w:p>
            <w:pPr>
              <w:pStyle w:val="TableContents"/>
              <w:bidi w:val="0"/>
              <w:spacing w:before="0" w:after="283"/>
              <w:jc w:val="both"/>
              <w:rPr/>
            </w:pPr>
            <w:r>
              <w:rPr/>
              <w:t xml:space="preserve">A search on the Cayman Online Registry Information Service conducted against the Company at the Registrar on 31 August 2026 (the </w:t>
            </w:r>
            <w:r>
              <w:rPr>
                <w:b/>
              </w:rPr>
              <w:t>CORIS Search</w:t>
            </w:r>
            <w:r>
              <w:rPr/>
              <w:t>).</w:t>
            </w:r>
          </w:p>
        </w:tc>
      </w:tr>
    </w:tbl>
    <w:p>
      <w:pPr>
        <w:pStyle w:val="TextBody"/>
        <w:bidi w:val="0"/>
        <w:spacing w:before="0" w:after="0"/>
        <w:ind w:left="709" w:right="0" w:hanging="709"/>
        <w:jc w:val="both"/>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38"/>
        <w:gridCol w:w="140"/>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8</w:t>
            </w:r>
          </w:p>
        </w:tc>
        <w:tc>
          <w:tcPr>
            <w:tcW w:w="2735" w:type="dxa"/>
            <w:tcBorders/>
            <w:vAlign w:val="center"/>
          </w:tcPr>
          <w:p>
            <w:pPr>
              <w:pStyle w:val="TableContents"/>
              <w:bidi w:val="0"/>
              <w:spacing w:before="0" w:after="283"/>
              <w:jc w:val="both"/>
              <w:rPr/>
            </w:pPr>
            <w:r>
              <w:rPr/>
              <w:t>The Prospectus Supplement.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B – the Documents</w:t>
      </w:r>
    </w:p>
    <w:p>
      <w:pPr>
        <w:pStyle w:val="TextBody"/>
        <w:bidi w:val="0"/>
        <w:spacing w:before="0" w:after="0"/>
        <w:ind w:left="709" w:right="0" w:hanging="709"/>
        <w:jc w:val="both"/>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38"/>
        <w:gridCol w:w="140"/>
        <w:gridCol w:w="872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9</w:t>
            </w:r>
          </w:p>
        </w:tc>
        <w:tc>
          <w:tcPr>
            <w:tcW w:w="8720" w:type="dxa"/>
            <w:tcBorders/>
            <w:vAlign w:val="center"/>
          </w:tcPr>
          <w:p>
            <w:pPr>
              <w:pStyle w:val="TableContents"/>
              <w:bidi w:val="0"/>
              <w:spacing w:before="0" w:after="283"/>
              <w:jc w:val="both"/>
              <w:rPr/>
            </w:pPr>
            <w:r>
              <w:rPr/>
              <w:t>A draft of the Sales Agreement between the Company and Craft Capital Management LLC.</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 of general application</w:t>
      </w:r>
    </w:p>
    <w:p>
      <w:pPr>
        <w:pStyle w:val="TextBody"/>
        <w:bidi w:val="0"/>
        <w:spacing w:before="0" w:after="0"/>
        <w:ind w:left="709" w:right="0" w:hanging="709"/>
        <w:jc w:val="both"/>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140"/>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6380" w:type="dxa"/>
            <w:tcBorders/>
            <w:vAlign w:val="center"/>
          </w:tcPr>
          <w:p>
            <w:pPr>
              <w:pStyle w:val="TableContents"/>
              <w:bidi w:val="0"/>
              <w:spacing w:before="0" w:after="283"/>
              <w:jc w:val="both"/>
              <w:rPr/>
            </w:pPr>
            <w:r>
              <w:rPr/>
              <w:t>All original documents examined by us are authentic and complete.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7" w:type="dxa"/>
            <w:tcBorders/>
            <w:vAlign w:val="center"/>
          </w:tcPr>
          <w:p>
            <w:pPr>
              <w:pStyle w:val="TableContents"/>
              <w:bidi w:val="0"/>
              <w:spacing w:before="0" w:after="283"/>
              <w:jc w:val="both"/>
              <w:rPr/>
            </w:pPr>
            <w:r>
              <w:rPr/>
              <w:t>All copy documents examined by us (whether in facsimile, electronic or other form) conform to the originals and those originals are authentic and complete.</w:t>
            </w:r>
          </w:p>
        </w:tc>
      </w:tr>
    </w:tbl>
    <w:p>
      <w:pPr>
        <w:pStyle w:val="TextBody"/>
        <w:bidi w:val="0"/>
        <w:spacing w:before="0" w:after="0"/>
        <w:ind w:left="709" w:right="0" w:hanging="709"/>
        <w:jc w:val="both"/>
        <w:rPr>
          <w:caps w:val="false"/>
          <w:smallCaps w:val="false"/>
        </w:rPr>
      </w:pPr>
      <w:r>
        <w:rPr>
          <w:caps w:val="false"/>
          <w:smallCaps w:val="false"/>
        </w:rPr>
        <w:t> </w:t>
      </w:r>
    </w:p>
    <w:tbl>
      <w:tblPr>
        <w:tblW w:w="9918" w:type="dxa"/>
        <w:jc w:val="left"/>
        <w:tblInd w:w="0" w:type="dxa"/>
        <w:tblLayout w:type="fixed"/>
        <w:tblCellMar>
          <w:top w:w="0" w:type="dxa"/>
          <w:left w:w="0" w:type="dxa"/>
          <w:bottom w:w="0" w:type="dxa"/>
          <w:right w:w="0" w:type="dxa"/>
        </w:tblCellMar>
      </w:tblPr>
      <w:tblGrid>
        <w:gridCol w:w="38"/>
        <w:gridCol w:w="140"/>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9740" w:type="dxa"/>
            <w:tcBorders/>
            <w:vAlign w:val="center"/>
          </w:tcPr>
          <w:p>
            <w:pPr>
              <w:pStyle w:val="TableContents"/>
              <w:bidi w:val="0"/>
              <w:spacing w:before="0" w:after="283"/>
              <w:jc w:val="both"/>
              <w:rPr/>
            </w:pPr>
            <w:r>
              <w:rPr/>
              <w:t>All signatures, seals, dates, stamps and markings (whether on original or copy documents) are genuine.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7" w:type="dxa"/>
            <w:tcBorders/>
            <w:vAlign w:val="center"/>
          </w:tcPr>
          <w:p>
            <w:pPr>
              <w:pStyle w:val="TableContents"/>
              <w:bidi w:val="0"/>
              <w:spacing w:before="0" w:after="283"/>
              <w:jc w:val="both"/>
              <w:rPr/>
            </w:pPr>
            <w:r>
              <w:rPr/>
              <w:t>The CORIS Search (as defined in Schedule 1) which we have examined is accurate and that the information disclosed by the CORIS Search is true and complete and that such information has not since been altered.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7" w:type="dxa"/>
            <w:tcBorders/>
            <w:vAlign w:val="center"/>
          </w:tcPr>
          <w:p>
            <w:pPr>
              <w:pStyle w:val="TableContents"/>
              <w:bidi w:val="0"/>
              <w:spacing w:before="0" w:after="283"/>
              <w:jc w:val="both"/>
              <w:rPr/>
            </w:pPr>
            <w:r>
              <w:rPr/>
              <w:t>Each of the Good Standing Certificate and the Director’s Certificate is accurate and complete as at the date of this opinion.</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6</w:t>
            </w:r>
          </w:p>
        </w:tc>
        <w:tc>
          <w:tcPr>
            <w:tcW w:w="10027" w:type="dxa"/>
            <w:tcBorders/>
            <w:vAlign w:val="center"/>
          </w:tcPr>
          <w:p>
            <w:pPr>
              <w:pStyle w:val="TableContents"/>
              <w:bidi w:val="0"/>
              <w:spacing w:before="0" w:after="283"/>
              <w:jc w:val="both"/>
              <w:rPr/>
            </w:pPr>
            <w:r>
              <w:rPr/>
              <w:t>Where any Document has been provided to us in draft or undated form, that Document has been executed by all parties in materially the form provided to us and, where we have been provided with successive drafts of a Document marked to show changes from a previous draft, all such changes have been accurately marked.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7</w:t>
            </w:r>
          </w:p>
        </w:tc>
        <w:tc>
          <w:tcPr>
            <w:tcW w:w="10027" w:type="dxa"/>
            <w:tcBorders/>
            <w:vAlign w:val="center"/>
          </w:tcPr>
          <w:p>
            <w:pPr>
              <w:pStyle w:val="TableContents"/>
              <w:bidi w:val="0"/>
              <w:spacing w:before="0" w:after="283"/>
              <w:jc w:val="both"/>
              <w:rPr/>
            </w:pPr>
            <w:r>
              <w:rPr/>
              <w:t>There will be no intervening circumstance relevant to this opinion between the date hereof and the date upon which the Shares are issued.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8</w:t>
            </w:r>
          </w:p>
        </w:tc>
        <w:tc>
          <w:tcPr>
            <w:tcW w:w="10027" w:type="dxa"/>
            <w:tcBorders/>
            <w:vAlign w:val="center"/>
          </w:tcPr>
          <w:p>
            <w:pPr>
              <w:pStyle w:val="TableContents"/>
              <w:bidi w:val="0"/>
              <w:spacing w:before="0" w:after="283"/>
              <w:jc w:val="both"/>
              <w:rPr/>
            </w:pPr>
            <w:r>
              <w:rPr/>
              <w:t>There is nothing in any law (other than the laws of the Cayman Islands) that would or might affect the opinions herein.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authorisation and execution</w:t>
      </w:r>
    </w:p>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9</w:t>
            </w:r>
          </w:p>
        </w:tc>
        <w:tc>
          <w:tcPr>
            <w:tcW w:w="10027" w:type="dxa"/>
            <w:tcBorders/>
            <w:vAlign w:val="center"/>
          </w:tcPr>
          <w:p>
            <w:pPr>
              <w:pStyle w:val="TableContents"/>
              <w:bidi w:val="0"/>
              <w:spacing w:before="0" w:after="283"/>
              <w:jc w:val="both"/>
              <w:rPr/>
            </w:pPr>
            <w:r>
              <w:rPr/>
              <w:t>Each of the parties to the Documents other than the Company is duly incorporated, formed or organised (as applicable), validly existing and in good standing under all relevant laws.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10</w:t>
            </w:r>
          </w:p>
        </w:tc>
        <w:tc>
          <w:tcPr>
            <w:tcW w:w="9907" w:type="dxa"/>
            <w:tcBorders/>
            <w:vAlign w:val="center"/>
          </w:tcPr>
          <w:p>
            <w:pPr>
              <w:pStyle w:val="TableContents"/>
              <w:bidi w:val="0"/>
              <w:spacing w:before="0" w:after="283"/>
              <w:jc w:val="both"/>
              <w:rPr/>
            </w:pPr>
            <w:r>
              <w:rPr/>
              <w:t>Each Document has been duly authorised, executed and unconditionally delivered by or on behalf of all parties to it (other than the Company) in accordance with all applicable laws.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11</w:t>
            </w:r>
          </w:p>
        </w:tc>
        <w:tc>
          <w:tcPr>
            <w:tcW w:w="9907" w:type="dxa"/>
            <w:tcBorders/>
            <w:vAlign w:val="center"/>
          </w:tcPr>
          <w:p>
            <w:pPr>
              <w:pStyle w:val="TableContents"/>
              <w:bidi w:val="0"/>
              <w:spacing w:before="0" w:after="283"/>
              <w:jc w:val="both"/>
              <w:rPr/>
            </w:pPr>
            <w:r>
              <w:rPr/>
              <w:t>In authorising the execution and delivery of the Documents by the Company, the issue and allotment of the Shares and the exercise of its rights and performance of its obligations under the Documents, each of the directors of the Company has acted in good faith with a view to the best interests of the Company and has exercised the standard of care, diligence and skill that is required of him or her.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w:t>
      </w:r>
    </w:p>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12</w:t>
            </w:r>
          </w:p>
        </w:tc>
        <w:tc>
          <w:tcPr>
            <w:tcW w:w="9907" w:type="dxa"/>
            <w:tcBorders/>
            <w:vAlign w:val="center"/>
          </w:tcPr>
          <w:p>
            <w:pPr>
              <w:pStyle w:val="TableContents"/>
              <w:bidi w:val="0"/>
              <w:spacing w:before="0" w:after="283"/>
              <w:jc w:val="both"/>
              <w:rPr/>
            </w:pPr>
            <w:r>
              <w:rPr/>
              <w:t>None of the opinions expressed herein will be adversely affected by the laws or public policies of any jurisdiction other than the Cayman Islands. In particular, but without limitation to the previous sentence: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(a)</w:t>
            </w:r>
          </w:p>
        </w:tc>
        <w:tc>
          <w:tcPr>
            <w:tcW w:w="9917" w:type="dxa"/>
            <w:tcBorders/>
            <w:vAlign w:val="center"/>
          </w:tcPr>
          <w:p>
            <w:pPr>
              <w:pStyle w:val="TableContents"/>
              <w:bidi w:val="0"/>
              <w:spacing w:before="0" w:after="283"/>
              <w:jc w:val="both"/>
              <w:rPr/>
            </w:pPr>
            <w:r>
              <w:rPr/>
              <w:t>the laws or public policies of any jurisdiction other than the Cayman Islands will not adversely affect the capacity or authority of the Company;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(b)</w:t>
            </w:r>
          </w:p>
        </w:tc>
        <w:tc>
          <w:tcPr>
            <w:tcW w:w="9917" w:type="dxa"/>
            <w:tcBorders/>
            <w:vAlign w:val="center"/>
          </w:tcPr>
          <w:p>
            <w:pPr>
              <w:pStyle w:val="TableContents"/>
              <w:bidi w:val="0"/>
              <w:spacing w:before="0" w:after="283"/>
              <w:jc w:val="both"/>
              <w:rPr/>
            </w:pPr>
            <w:r>
              <w:rPr/>
              <w:t>neither the execution or delivery of the Documents nor the exercise by any party to the Documents of its rights or the performance of its obligations under them contravene those laws or public policies.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Issuance</w:t>
      </w:r>
    </w:p>
    <w:p>
      <w:pPr>
        <w:pStyle w:val="TextBody"/>
        <w:bidi w:val="0"/>
        <w:spacing w:before="0" w:after="0"/>
        <w:ind w:left="709" w:right="0" w:hanging="709"/>
        <w:jc w:val="both"/>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38"/>
        <w:gridCol w:w="260"/>
        <w:gridCol w:w="84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13</w:t>
            </w:r>
          </w:p>
        </w:tc>
        <w:tc>
          <w:tcPr>
            <w:tcW w:w="8480" w:type="dxa"/>
            <w:tcBorders/>
            <w:vAlign w:val="center"/>
          </w:tcPr>
          <w:p>
            <w:pPr>
              <w:pStyle w:val="TableContents"/>
              <w:bidi w:val="0"/>
              <w:spacing w:before="0" w:after="283"/>
              <w:jc w:val="both"/>
              <w:rPr/>
            </w:pPr>
            <w:r>
              <w:rPr/>
              <w:t>The Shares to be issued shall be issued at an issue price in excess of the par value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Writs</w:t>
      </w:r>
    </w:p>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14</w:t>
            </w:r>
          </w:p>
        </w:tc>
        <w:tc>
          <w:tcPr>
            <w:tcW w:w="9907" w:type="dxa"/>
            <w:tcBorders/>
            <w:vAlign w:val="center"/>
          </w:tcPr>
          <w:p>
            <w:pPr>
              <w:pStyle w:val="TableContents"/>
              <w:bidi w:val="0"/>
              <w:spacing w:before="0" w:after="283"/>
              <w:jc w:val="both"/>
              <w:rPr/>
            </w:pPr>
            <w:r>
              <w:rPr/>
              <w:t>The Register of Writs constitutes a complete and accurate record of the proceedings affecting the Company before the Grand Court of the Cayman Islands as at the time we conducted our investigation of such register.</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 Standing</w:t>
      </w:r>
    </w:p>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7" w:type="dxa"/>
            <w:tcBorders/>
            <w:vAlign w:val="center"/>
          </w:tcPr>
          <w:p>
            <w:pPr>
              <w:pStyle w:val="TableContents"/>
              <w:bidi w:val="0"/>
              <w:spacing w:before="0" w:after="283"/>
              <w:jc w:val="both"/>
              <w:rPr/>
            </w:pPr>
            <w:r>
              <w:rPr/>
              <w:t>Under the Companies Act (Revised) of the Cayman Islands (</w:t>
            </w:r>
            <w:r>
              <w:rPr>
                <w:b/>
              </w:rPr>
              <w:t>Companies Act</w:t>
            </w:r>
            <w:r>
              <w:rPr/>
              <w:t>) annual returns in respect of the Company must be filed with the Registrar,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7" w:type="dxa"/>
            <w:tcBorders/>
            <w:vAlign w:val="center"/>
          </w:tcPr>
          <w:p>
            <w:pPr>
              <w:pStyle w:val="TableContents"/>
              <w:bidi w:val="0"/>
              <w:spacing w:before="0" w:after="283"/>
              <w:jc w:val="both"/>
              <w:rPr/>
            </w:pPr>
            <w:r>
              <w:rPr>
                <w:b/>
              </w:rPr>
              <w:t>In good standing</w:t>
            </w:r>
            <w:r>
              <w:rPr/>
              <w:t xml:space="preserve"> means only that as of the date of the Good Standing Certificate the Company is up-to-date with the filing of its annual returns and payment of annual fees with the Registrar. We have made no enquiries into the Company’s good standing with respect to any filings or payment of fees, or both, that it may be required to make under the laws of the Cayman Islands other than the Companies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Liability</w:t>
      </w:r>
    </w:p>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7" w:type="dxa"/>
            <w:tcBorders/>
            <w:vAlign w:val="center"/>
          </w:tcPr>
          <w:p>
            <w:pPr>
              <w:pStyle w:val="TableContents"/>
              <w:bidi w:val="0"/>
              <w:spacing w:before="0" w:after="283"/>
              <w:jc w:val="both"/>
              <w:rPr/>
            </w:pPr>
            <w:r>
              <w:rPr/>
              <w:t>We are not aware of any Cayman Islands authority as to when the courts would set aside the limited liability of a shareholder in a Cayman Islands company. Our opinion on the subject is based on the Companies Act and English common law authorities, the latter of which are persuasive but not binding in the courts of the Cayman Islands. Under English authorities, circumstances in which a court would attribute personal liability to a shareholder are very limited, and include: (a) such shareholder expressly assuming direct liability (such as a guarantee); (b) the company acting as the agent of such shareholder; and (c) the company being incorporated by or at the behest of such shareholder for the purpose of committing or furthering such shareholder’s fraud, or for a sham transaction otherwise carried out by such shareholder. In the absence of these circumstances, we are of the opinion that a Cayman Islands’ court would have no grounds to set aside the limited liability of a shareholder.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Non-Assessable</w:t>
      </w:r>
    </w:p>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7" w:type="dxa"/>
            <w:tcBorders/>
            <w:vAlign w:val="center"/>
          </w:tcPr>
          <w:p>
            <w:pPr>
              <w:pStyle w:val="TableContents"/>
              <w:bidi w:val="0"/>
              <w:spacing w:before="0" w:after="283"/>
              <w:jc w:val="both"/>
              <w:rPr/>
            </w:pPr>
            <w:r>
              <w:rPr/>
              <w:t>In this opinion, the phrase “non-assessable” means, with respect to the Shares in the Company, that a shareholder shall not, solely by virtue of its status as a shareholder, be liable for additional assessments or calls on the Shares by the Company or its creditors (except in exceptional circumstances, such as involving fraud, the establishment of an agency relationship or an illegal or improper purpose or other circumstance in which a court may be prepared to pierce or lift the corporate veil).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Writs</w:t>
      </w:r>
    </w:p>
    <w:p>
      <w:pPr>
        <w:pStyle w:val="TextBody"/>
        <w:bidi w:val="0"/>
        <w:spacing w:before="0" w:after="0"/>
        <w:ind w:left="709" w:right="0" w:hanging="709"/>
        <w:jc w:val="both"/>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140"/>
        <w:gridCol w:w="869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8690" w:type="dxa"/>
            <w:tcBorders/>
            <w:vAlign w:val="center"/>
          </w:tcPr>
          <w:p>
            <w:pPr>
              <w:pStyle w:val="TableContents"/>
              <w:bidi w:val="0"/>
              <w:spacing w:before="0" w:after="283"/>
              <w:jc w:val="both"/>
              <w:rPr/>
            </w:pPr>
            <w:r>
              <w:rPr/>
              <w:t>Our examination of the Register of Writs cannot conclusively reveal whether or not there is:</w:t>
            </w:r>
          </w:p>
        </w:tc>
      </w:tr>
    </w:tbl>
    <w:p>
      <w:pPr>
        <w:pStyle w:val="TextBody"/>
        <w:bidi w:val="0"/>
        <w:spacing w:before="0" w:after="0"/>
        <w:ind w:left="1418" w:right="0" w:hanging="709"/>
        <w:jc w:val="both"/>
        <w:rPr>
          <w:caps w:val="false"/>
          <w:smallCaps w:val="false"/>
        </w:rPr>
      </w:pPr>
      <w:r>
        <w:rPr>
          <w:caps w:val="false"/>
          <w:smallCaps w:val="false"/>
        </w:rPr>
        <w:t> </w:t>
      </w:r>
    </w:p>
    <w:tbl>
      <w:tblPr>
        <w:tblW w:w="7908" w:type="dxa"/>
        <w:jc w:val="left"/>
        <w:tblInd w:w="0" w:type="dxa"/>
        <w:tblLayout w:type="fixed"/>
        <w:tblCellMar>
          <w:top w:w="0" w:type="dxa"/>
          <w:left w:w="0" w:type="dxa"/>
          <w:bottom w:w="0" w:type="dxa"/>
          <w:right w:w="0" w:type="dxa"/>
        </w:tblCellMar>
      </w:tblPr>
      <w:tblGrid>
        <w:gridCol w:w="38"/>
        <w:gridCol w:w="275"/>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7595" w:type="dxa"/>
            <w:tcBorders/>
            <w:vAlign w:val="center"/>
          </w:tcPr>
          <w:p>
            <w:pPr>
              <w:pStyle w:val="TableContents"/>
              <w:bidi w:val="0"/>
              <w:spacing w:before="0" w:after="283"/>
              <w:jc w:val="both"/>
              <w:rPr/>
            </w:pPr>
            <w:r>
              <w:rPr/>
              <w:t>any current or pending litigation in the Cayman Islands against the Company;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4" w:type="dxa"/>
            <w:tcBorders/>
            <w:vAlign w:val="center"/>
          </w:tcPr>
          <w:p>
            <w:pPr>
              <w:pStyle w:val="TableContents"/>
              <w:bidi w:val="0"/>
              <w:spacing w:before="0" w:after="283"/>
              <w:jc w:val="both"/>
              <w:rPr/>
            </w:pPr>
            <w:r>
              <w:rPr/>
              <w:t>any application for the winding up or dissolution of the Company or the appointment of any liquidator, trustee in bankruptcy or restructuring officer in respect of the Company or any of its assets,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notice of these matters might not be entered on the Register of Writs immediately or updated expeditiously or the court file associated with the matter or the matter itself may not be publicly available (for example, due to sealing orders having been made). Furthermore, we have not conducted a search of the summary court. Claims in the summary court are limited to a maximum of CI $20,000.</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ind w:left="0" w:right="0" w:hanging="0"/>
        <w:jc w:val="right"/>
        <w:rPr>
          <w:b/>
        </w:rPr>
      </w:pPr>
      <w:bookmarkStart w:id="4" w:name="ea030403601ex10-1.htm"/>
      <w:bookmarkStart w:id="5" w:name="ksea030403601ex101"/>
      <w:bookmarkEnd w:id="4"/>
      <w:bookmarkEnd w:id="5"/>
      <w:r>
        <w:rPr>
          <w:b/>
        </w:rPr>
        <w:t>Exhibit 10.1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 value of $0.00001 each)</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31,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6480" w:right="648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Craft Capital Management LLC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 Oak Street, Suite 4,</w:t>
      </w:r>
    </w:p>
    <w:p>
      <w:pPr>
        <w:pStyle w:val="TextBody"/>
        <w:bidi w:val="0"/>
        <w:spacing w:before="0" w:after="0"/>
        <w:ind w:left="6480" w:right="648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Garden City, NY 11530</w:t>
      </w:r>
    </w:p>
    <w:p>
      <w:pPr>
        <w:pStyle w:val="TextBody"/>
        <w:bidi w:val="0"/>
        <w:spacing w:before="0" w:after="0"/>
        <w:ind w:left="6480" w:right="648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Golden Heaven Group Holdings Ltd., a Cayman Islands exempted company (the “Company”), confirms its agreement (this “Agreement”) with Craft Capital Management LLC (the “Agent”),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Issuance and Sale of Shares</w:t>
      </w:r>
      <w:r>
        <w:rPr>
          <w:rFonts w:ascii="Times New Roman;Times;Serif" w:hAnsi="Times New Roman;Times;Serif"/>
          <w:b w:val="false"/>
          <w:i w:val="false"/>
          <w:caps w:val="false"/>
          <w:smallCaps w:val="false"/>
          <w:sz w:val="20"/>
        </w:rPr>
        <w:t xml:space="preserve">. The Company proposes that, from time to time during the term of this Agreement, on the terms and subject to the conditions set forth herein, it may issue and sell through the Agent Class A ordinary shares of the Company, par value of $0.00001 each (the “Shares,” and such Shares issued or sold pursuant to this Agreement, the “Placement Shares”);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no event shall the Company issue or sell, through the Agent, such number of Placement Shares that: (i) exceeds the dollar amount of Shares registered on the effective Registration Statement (as defined below) pursuant to which the offering is being made; (ii) exceeds the number of authorized but unissued Shares (less Shares issuable upon exercise, conversion or exchange of any outstanding securities of the Company or otherwise reserved from the Company’s authorized share capital) in the Company’s authorized share capital; (iii) exceeds the dollar amount of Shares registered on the Prospectus Supplement (as defined below); or (iv) exceeds the number or dollar amount of Shares that would cause the Company or the offering of Shares to not satisfy the eligibility and transaction requirements for use of Form F-3, respectively, including, if applicable, General Instruction I.B.5 of Form F-3 (the least of (i), (ii), (iii) and (iv), the “Maximum Amount”). Notwithstanding anything to the contrary contained herein, the parties hereto agree that compliance with the limitations set forth in this Section 1 on the amount of Placement Shares issued and sold under this Agreement shall be the sole responsibility of the Company and that Agent shall have no obligation in connection with such compliance. The issuance and sale of Placement Shares hereunder will be effected pursuant to the Registration Statement and at no earlier time than such time as the Registration Statement shall have been declared effective by the Securities and Exchange Commission (the “Commission”), although nothing in this Agreement shall be construed as requiring the Company to issue any Placement Shares. Certain capitalized terms used in this Agreement have the meanings ascribed to them in Section 24. Notwithstanding anything herein to the contrary, and for the avoidance of doubt, Shares shall not be issued or sold pursuant to this Agreement if such issuance or sale would result in: (A) a violation of the Securities Act (as defined below); (B) a breach of the rules of the Exchange; or (C) exceed the Maximum Amount, as applicable. Both parties shall promptly notify the other in writing if either of them becomes aware of any potential or actual violation of this Section 1. The provisions of this ‎Section 1 shall be implemented in a manner otherwise than in strict conformity with the terms of this ‎Section 1 only if necessary to ensure compliance with the Securities Act and the applicable rules of the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the Company has filed, in accordance with the provisions of the Securities Act of 1933, as amended, and the rules and regulations thereunder (the “Securities Act”), with the Commission a registration statement on Form F-3 (333-292462),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and the rules and regulations thereunder (the “Exchange Act”). The Company has prepared a prospectus supplement to the base prospectus included as part of the registration statement specifically relating to the Placement Shares to be issued from time to time by the Company (the “Prospectus Supplement”). The Company will furnish to the Agent, for use by the Agent, copies of the base prospectus included as part of such registration statement, as supplemented by the Prospectus Supplement, relating to the Placement Shares. Except where the context otherwise requires, such registration statement, and any post-effective amendment thereto,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under the Securities Act or any subsequent registration statement on Form F-3 filed pursuant to Rule 415(a)(6) under the Securities Act by the Company to cover any Placement Shares, as a result of the end of the three-year period described in Rule 415(a)(5) of the Securities Act, is herein called the “Registration Statement.” The base prospectus, including all documents incorporated therein by reference, to the extent such information has not been superseded or modified in accordance with Rule 412 under the Securities Act (as qualified by Rule 430B(g) of the Securities Act), included in the Registration Statement, as it may be supplemented by one or more prospectus supplements, in the form in which such Prospectus Supplement has most recently been filed by the Company with the Commission pursuant to Rule 424(b) under the Securities Act, together with any then issued Issuer Free Writing Prospectus (defined below), is herein called the “Prospectus.”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herein to the Registration Statement, the Prospectus Supplement, the Prospectus or any Issuer Free Writing Prospectus shall be deemed to refer to and include the documents, if any, incorporated by reference therein (the “Incorporated Documents”), including, unless the context otherwise requires, the documents, if any, filed as exhibits to such Incorporated Documents. Any reference herein to the terms “amend,” “amendment” or “supplement” with respect to the Registration Statement, the Prospectus Supplement, the Prospectus or any Issuer Free Writing Prospectus shall be deemed to refer to and include the filing of any document under the Exchange Act on or after the most-recent effective date of the Registration Statement, or the date of the Prospectus or such Issuer Free Writing Prospectus, as the case may be, and incorporated therein by reference. For purposes of this Agreement, all references to the Registration Statement, the Prospectus or to any amendment or supplement thereto shall be deemed to include any copy filed with the Commission pursuant to its Electronic Data Gathering Analysis and Retrieval system, or if applicable, the Interactive Data Electronic Application system when used by the Commission (collectively, “EDGAR”).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Placements</w:t>
      </w:r>
      <w:r>
        <w:rPr>
          <w:rFonts w:ascii="Times New Roman;Times;Serif" w:hAnsi="Times New Roman;Times;Serif"/>
          <w:b w:val="false"/>
          <w:i w:val="false"/>
          <w:caps w:val="false"/>
          <w:smallCaps w:val="false"/>
          <w:sz w:val="20"/>
        </w:rPr>
        <w:t>. Each time that the Company wishes to issue and sell Placement Shares hereunder (each, a “Placement”), it will notify the Agent by email notice (or other method mutually agreed to in writing by the parties) of the number or dollar value of Placement Shares to be sold, the time period during which sales are requested to be made, any limitation on the number of Placement Shares that may be sold in any one Trading Day and any minimum price below which sales may not be made (a “Placement Notice”), the form of which is attached hereto as Schedule 1. The Placement Notice shall originate from any of the individuals from the Company set forth on Schedule 3 (with a copy to each of the other individuals from the Company listed on such schedule), and shall be addressed to each of the individuals from the Agent set forth on Schedule 3, as such Schedule 3 may be amended from time to time. The Placement Notice shall be effective upon receipt by the Agent unless and until: (i) the Agent declines to accept the terms contained therein for any reason, in its sole discretion; (ii) the entire amount of the Placement Shares to be sold thereunder have been sold; (iii) the Company suspends or terminates the Placement Notice for any reason, in its sole discretion; (iv) the Company issues a subsequent Placement Notice with parameters superseding those of the earlier dated Placement Notice; or (v) this Agreement has been terminated under the provisions of Section 12. The amount of any discount, commission or other compensation to be paid by the Company to the Agent and executing broker that shall be selected by the Company and the Agent from time to time (the “Executing Broker”) in connection with the sale of the Placement Shares shall be calculated in accordance with the terms set forth in Schedule 2.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either Sections 2 or 3 of this Agreement and the terms of a Placement Notice, the terms of the Placement Notice will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Sale of Placement Shares by the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provisions of Section 5(a), for the period specified in the Placement Notice, the Agent will use its commercially reasonable efforts consistent with its normal trading and sales practices and applicable state and federal laws, rules and regulations and the rules of the Exchange, to sell the Placement Shares up to the amount specified in, and otherwise in accordance with the terms of such Placement Notice. The Agent will provide written confirmation to the Company (including by email correspondence to each of the individuals of the Company set forth on Schedule 3, if receipt of such correspondence is actually acknowledged by any of the individuals to whom the notice is sent, other than via auto-reply) no later than the opening of the Trading Day immediately following the Trading Day on which it has made sales of Placement Shares hereunder setting forth the number of Placement Shares sold on such day, the volume weighted average trading price of the Placement Shares sold, the compensation payable by the Company to the Agent pursuant to Section 2 with respect to such sales, and the Net Proceeds (as defined below) payable to the Company, with an itemization of the deductions made by the Agent (as set forth in Section 5(b)) from the gross proceeds that it receives from such sales. Subject to the terms of the Placement Notice, the Agent may sell Placement Shares by any method permitted by law deemed to be an “at the market offering” as defined in Rule 415(a)(4)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the term of this Agreement, the Agent shall act solely as agent and not as principal in connection with any sale of the Placement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Suspension of Sales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or the Agent may, upon notice to the other party in writing (including by email correspondence to each of the individuals of the other party set forth on Schedule 3,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Schedule 3), suspend any sale of Placement Shares;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such suspension shall not affect or impair any party’s obligations with respect to any Placement Shares sold hereunder prior to the receipt of such notice. Each party agrees that no such notice under this Section 4 shall be effective against any other party unless it is made to one of the individuals named on Schedule 3 hereto as associated with such other party, as such Schedule may be amended in writing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other provision of this Agreement, during any period in which the Company is in possession of material non-public information (“MNPI”) with respect to the Company, the Company acknowledges and agrees that: (i) no sale of Placement Shares will take place; (ii) the Company shall not request the sale of any Placement Shares; and (iii) the Agent shall not be obligated to sell or offer to sell any Placement Shares. In the event that the Company possesses MNPI, it is the sole responsibility of the Company to provide proper and timely notice to the Agent that sales of Placement Shares will be suspended indefinitely, unless and until further notice from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Sale and Delivery to the Agent; Settlement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Sale of Placement Shares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On the basis of the representations and warranties herein contained and subject to the terms and conditions herein set forth, upon the Agent’s acceptance of the terms of a Placement Notice,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state and federal laws, rules and regulations and the rules of the Exchange to sell such Placement Shares up to the amount specified in such Placement Notice, and otherwise in accordance with the terms of such Placement Notice. The Company acknowledges and agrees that: (i) there can be no assurance that the Agent will be successful in selling Placement Shares; and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law and regulations to sell such Placement Shares as required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Settlement of Placement Shares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Unless otherwise specified in the applicable Placement Notice, settlement for sales of Placement Shares will occur on the first (1st) Trading Day (or such earlier day as is industry practice for regular-way trading) following the date on which such sales are made (each, a “Settlement Date”). The Agent shall arrange for a written confirmation report (which may be by electronic mail) to be sent to the Company following the close of each Trading Day setting forth: (i) the number of Shares sold on such day; and (ii) the weighted average sale price of the Shares sold on such day, no later than the opening of the Trading Day immediately after the Settlement Date. The amount of proceeds to be delivered to the Company on a Settlement Date against receipt of the Placement Shares sold (the “Net Proceeds”) will be equal to the aggregate sales price received by the Agent, after deduction for: (A) the Agent’s commission, discount or other compensation for such sales payable by the Company pursuant to Section 2 as calculated in accordance with the terms set forth in Schedule 2 hereof, and (B) any transaction fees imposed by any governmental or self-regulatory organization in respect of such sales, in each case as reflected on the settlement statement issued by the Executing Broker. The Agent will not receive, hold, or control any investor or Company funds or securities; all settlement information provided to the Company will be reflected in trade confirmations or a settlement statement from the Executing Broker.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Placement Shares</w:t>
      </w:r>
      <w:r>
        <w:rPr>
          <w:rFonts w:ascii="Times New Roman;Times;Serif" w:hAnsi="Times New Roman;Times;Serif"/>
          <w:b w:val="false"/>
          <w:i w:val="false"/>
          <w:caps w:val="false"/>
          <w:smallCaps w:val="false"/>
          <w:sz w:val="20"/>
        </w:rPr>
        <w:t>. On or before each Settlement Date, the Company will, or will cause its transfer agent to, electronically transfer the Placement Shares being sold by crediting the Agent’s or its designee’s account (provided the Agent shall have given the Company written notice of such designee and such designee’s account information at least one Trading Day prior to the Settlement Date) at The Depository Trust Company through its Deposit and Withdrawal at Custodian System (the “DWAC”) and making a corresponding entry into the Company’s register of members or by such other means of issuance as may be mutually agreed upon by the parties hereto which in all cases shall be freely tradable, transferable, registered shares in good deliverable form. On each Settlement Date, the Executing Broker will deliver the related Net Proceeds in same day funds to an account designated by the Company on, or prior to, the Settlement Date. The Agent will not receive, hold, or control any customer, investor, or Company funds or securities. The Agent shall be responsible for providing DWAC instructions or other instructions for delivery by other means with regard to the transfer of the Placement Shares being sold. The Company agrees that if the Company, or its transfer agent (if applicable), defaults in its obligation to deliver Placement Shares on a Settlement Date through no fault of the Agent, then in addition to and in no way limiting the rights and obligations set forth in Section 10(a) hereto, it will: (i) hold the Agent harmless against any loss, claim, damage, or reasonable and documented expense (including reasonable and documented legal fees and expenses), as incurred, arising out of or in connection with such default by the Company or its transfer agent (if applicable); and (ii) pay to the Agent (without duplication) any commission, discount, or other compensation to which it would otherwise have been entitled absent such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Limitations on Offering Size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Under no circumstances shall the Company cause or request the offer or sale of any Placement Shares if, after giving effect to the sale of such Placement Shares, the aggregate number of Placement Shares sold pursuant to this Agreement would exceed the least of: (i) together with all sales of Placement Shares under this Agreement, the Maximum Amount; (ii) the amount authorized from time to time to be issued and sold under this Agreement by the Company’s board of directors, a duly authorized committee thereof or a duly authorized executive committee, and notified to the Agent in writing; or (iii) the aggregate number of authorized but unissued and unreserved Shares in accordance with the Company’s amended and restated memorandum and articles of association, as amended and restated from time to time (the “Articles”). Under no circumstances shall the Company cause or request the offer or sale of any Placement Shares pursuant to this Agreement at a price lower than the higher of (a) the par value of the Placement Shares from time to time; and (b) the minimum price authorized from time to time by the Company’s board of directors, a duly authorized committee thereof or a duly authorized executive committee, and notified to the Agent in writing.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Except as disclosed in the Registration Statement or Prospectus (including the Incorporated Documents) or on a disclosure schedule delivered by the Company, the Company represents and warrants to, and agrees with the Agent that as of the date of this Agreement and as of each Applicable Time (as defined below), unless such representation, warranty or agreement specifies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Registration Statement and Prospectus</w:t>
      </w:r>
      <w:r>
        <w:rPr>
          <w:rFonts w:ascii="Times New Roman;Times;Serif" w:hAnsi="Times New Roman;Times;Serif"/>
          <w:b w:val="false"/>
          <w:i w:val="false"/>
          <w:caps w:val="false"/>
          <w:smallCaps w:val="false"/>
          <w:sz w:val="20"/>
        </w:rPr>
        <w:t>. As of the date of this Agreement, the Company and the transactions contemplated by this Agreement meet the requirements for and comply with the conditions for the use of Form F-3 under the Securities Act. The Registration Statement has been filed with the Commission and has been declared effective by the Commission under the Securities Act prior to the issuance of any Placement Notice by the Company. The Prospectus Supplement will name the Agent as agent,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or will be so described or filed. Copies of the Registration Statement, the Prospectus, and any such amendments or supplements and all documents incorporated by reference therein that were filed with the Commission on or prior to the date of this Agreement have been delivered, or are available through EDGAR, to the Agent and its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to which the Agent has consented. The Company has taken no action designed to, or likely to have the effect of, terminating the registration of the Shares under the Exchange Act, delisting the Shares from the Exchange, nor has the Company received any notification that the Commission or the Exchange is contemplating terminating such registration or listing. To the Company’s knowledge, it is in compliance with all applicable listing requirements of the Exchange. Except as disclosed in the Registration Statement and Prospectus Supplement, the Company has no reason to believe that it will not in the foreseeable future continue to be in compliance with all such listing and maintenance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Misstatement or Omission</w:t>
      </w:r>
      <w:r>
        <w:rPr>
          <w:rFonts w:ascii="Times New Roman;Times;Serif" w:hAnsi="Times New Roman;Times;Serif"/>
          <w:b w:val="false"/>
          <w:i w:val="false"/>
          <w:caps w:val="false"/>
          <w:smallCaps w:val="false"/>
          <w:sz w:val="20"/>
        </w:rPr>
        <w:t>. The Registration Statement, when it became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when it became effective, did not, and will not, contain an untrue statement of a material fact or omit to state a material fact required to be stated therein or necessary to make the statements therein not misleading. The Prospectus and any amendment or supplement thereto, on the date thereof and at each Applicable Time (defined below), did not and will not include an untrue statement of a material fact or omit to state a material fact necessary to make the statements therein, in light of the circumstances under which they were made, not misleading. The documents incorporated by reference in the Prospectus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Agent specifically for use in the preparation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Conformity with Securities Act and Exchange Act</w:t>
      </w:r>
      <w:r>
        <w:rPr>
          <w:rFonts w:ascii="Times New Roman;Times;Serif" w:hAnsi="Times New Roman;Times;Serif"/>
          <w:b w:val="false"/>
          <w:i w:val="false"/>
          <w:caps w:val="false"/>
          <w:smallCaps w:val="false"/>
          <w:sz w:val="20"/>
        </w:rPr>
        <w:t>. The Registration Statement, the Prospectus, any Issuer Free Writing Prospectus or any amendment or supplement thereto, and the Incorporated Documents, when such documents were or are filed with the Commission under the Securities Act or the Exchange Act or became, as the case may be, conformed and will conform in all material respects with the requirements of the Securities Act and the Exchange Act, as applicable.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Financial Information</w:t>
      </w:r>
      <w:r>
        <w:rPr>
          <w:rFonts w:ascii="Times New Roman;Times;Serif" w:hAnsi="Times New Roman;Times;Serif"/>
          <w:b w:val="false"/>
          <w:i w:val="false"/>
          <w:caps w:val="false"/>
          <w:smallCaps w:val="false"/>
          <w:sz w:val="20"/>
        </w:rPr>
        <w:t>. The financial statements of the Company included or incorporated by reference in the Registration Statement, the Prospectus and the Issuer Free Writing Prospectuses, if any, together with the related notes and schedules, present fairly, in all material respects, the financial position of the Company and the Subsidiaries (as defined below) as of the dates indicated and the results of operations, cash flows and changes in shareholders’ equity of the Company and the Subsidiaries for the periods specified (subject, in the case of unaudited interim financial statements, to normal year-end audit adjustments) and have been prepared in compliance with the requirements of the Securities Act and Exchange Act and in conformity with GAAP (as defined below) applied on a consistent basis (except for (i) such adjustments to accounting standards and practices as are noted therein, (ii) in the case of unaudited interim financial statements, to the extent such financial statements may not include footnotes required by GAAP or may be condensed or summary statements and (iii) such adjustments which will not be material, either individually or in the aggregate) during the periods involved. The summary and selected financial data with respect to the Company and the Subsidiaries contained or incorporated by reference in the Registration Statement, the Prospectus and the Issuer Free Writing Prospectuses, if any, fairly present in all material respects the information shown therein as of the respective dates and for the respective periods specified and are derived from the financial statements set forth in the Registration Statement and the Prospectus and the other books and records of the Company. There are no financial statements that are required by Regulation S-X to be included or incorporated by reference in the Registration Statement, or the Prospectus that are not included or incorporated by reference as required; the Company and the Subsidiaries do not have any material liabilities or obligations, direct or contingent (including any off-balance sheet obligations), not described in the Registration Statement (excluding the exhibits thereto), and the Prospectus. All disclosures contained or incorporated by reference in the Registration Statement, the Prospectus and the Issuer Free Writing Prospectuses, if any, regarding “non-GAAP financial measures” (as such term is defined by the rules and regulations of the Commission) comply in all material respects with Regulation G of the Exchange Act and Item 10(e) of Regulation S-K under the Securities Act, to the extent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Conformity with EDGAR Filing</w:t>
      </w:r>
      <w:r>
        <w:rPr>
          <w:rFonts w:ascii="Times New Roman;Times;Serif" w:hAnsi="Times New Roman;Times;Serif"/>
          <w:b w:val="false"/>
          <w:i w:val="false"/>
          <w:caps w:val="false"/>
          <w:smallCaps w:val="false"/>
          <w:sz w:val="20"/>
        </w:rPr>
        <w:t>. The Prospectus delivered to the Agent for use in connection with the sale of the Placement Shares pursuant to this Agreement will be identical to the versions of the Prospectus created to be transmitted to the Commission for filing via EDGAR, except to the extent permitted by Regulation 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The Company and its Subsidiaries, if any, are, and will be, duly organized, validly existing as a corporation, limited liability company or other entity, as applicable, and in good standing under the laws of their respective jurisdictions of organization. Each of the Company and the Subsidiaries is duly licensed or qualified as a foreign corporation, exempted company or other entity, as applicable, for transaction of business and in good standing under the laws of each other jurisdiction in which its ownership or lease of property or the conduct of its business requires such license or qualification, and has all corporate or entity power and authority necessary to own or hold its properties and to conduct its business as described in the Registration Statement and the Prospectus, except where the failure to be so qualified or in good standing or have such power or authority would not, individually or in the aggregate, have a material adverse effect or would reasonably be expected to have a material adverse effect on or affecting the assets, business, operations, earnings, properties, condition (financial or otherwise), prospects, shareholders’ equity or results of operations of the Company and the Subsidiaries taken as a whole, or prevent or materially interfere with consummation of the transactions contemplated hereby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Except as set forth on Schedule 6(g), the Company’s Subsidiaries are set forth on Exhibit 8.1 to the Company’s Annual Report on Form 20-F for the most recently ended fiscal year.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 Violation or Default</w:t>
      </w:r>
      <w:r>
        <w:rPr>
          <w:rFonts w:ascii="Times New Roman;Times;Serif" w:hAnsi="Times New Roman;Times;Serif"/>
          <w:b w:val="false"/>
          <w:i w:val="false"/>
          <w:caps w:val="false"/>
          <w:smallCaps w:val="false"/>
          <w:sz w:val="20"/>
        </w:rPr>
        <w:t>. Neither the Company nor any Subsidiary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Subsidiary is a party or by which the Company or any Subsidiary is bound or to which any of the property or assets of the Company or any Subsidiary is subject; or (iii) in violation of any law or statute or any judgment, order, rule or regulation of any court or arbitrator or governmental or regulatory authority, except, in the case of each of clauses (ii) and (iii) above, for any such violation or default that would not, individually or in the aggregate, have a Material Adverse Effect. To the Company’s knowledge, no other party under any material contract or other agreement to which it or any Subsidiary is a party is in default in any respect thereunder where such default would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Subsequent to the latest date of which information is given in the Registration Statement, the Prospectus and the Issuer Free Writing Prospectuses, if any, (including any document deemed incorporated by reference therein), there has not been (i) any Material Adverse Effect or the occurrence of any development that the Company reasonably expects will result in a Material Adverse Effect, (ii) any transaction which is material to the Company and the Subsidiaries taken as a whole, (iii) any obligation or liability, direct or contingent (including any off-balance sheet obligations), incurred by the Company or the Subsidiaries which is material to the Company and the Subsidiaries taken as a whole, (iv) any material change in the share capital or outstanding long-term indebtedness of the Company or the Subsidiaries (other than (A) the grant of awards under equity incentive plans, (B) changes in the number of shares of outstanding Shares due to exercise or conversion of securities exercisable for or convertible into Shares, (C) any repurchase of share capital of the Company, (D) as a result of the sale of Placement Shares or (E) other than as publicly reported or announced) or (v) any dividend or distribution of any kind declared, paid or made on the share capital of the Company or any Subsidiary, other than in each case above in the ordinary course of business or as otherwise disclosed in the Registration Statement or Prospectus (including any document deemed incorporated by reference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issued and outstanding shares in the share capital of the Company have been validly issued, are fully paid and non-assessable and, other than as disclosed in the Registration Statement or the Prospectus, are not subject to any preemptive rights, rights of first refusal or similar rights. The Company has an authorized, issued and outstanding capitalization as set forth in the Registration Statement and the Prospectus as of the dates referred to therein (other than the grant of options, restricted share, and restricted share units under the Company’s existing share option plans, or changes in the number of outstanding shares of Shares of the Company due to the issuance of shares upon the exercise or conversion of securities exercisable for, or convertible into, Shares outstanding on the date hereof) and such authorized share capital conforms in all material respects to the description thereof set forth in the Registration Statement and the Prospectus. The description of the securities of the Company in the Registration Statement and the Prospectus is complete and accurate in all material respects. Except as disclosed in the Registration Statement or the Prospectus, as of the date referred to therein, the Company does not have outstanding any options to purchase, or any rights or warrants to subscribe for, or any securities or obligations convertible into, or exchangeable for, or any contracts or commitments to issue or sell, Shares or other securities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Authorization; Enforceability</w:t>
      </w:r>
      <w:r>
        <w:rPr>
          <w:rFonts w:ascii="Times New Roman;Times;Serif" w:hAnsi="Times New Roman;Times;Serif"/>
          <w:b w:val="false"/>
          <w:i w:val="false"/>
          <w:caps w:val="false"/>
          <w:smallCaps w:val="false"/>
          <w:sz w:val="20"/>
        </w:rPr>
        <w:t>. The Company has full legal right, power and authority to enter into this Agreement and perform the transactions contemplated hereby. This Agreement has been duly authorized, executed and delivered by the Company and is a legal, valid and binding agreement of the Company enforceable in accordance with its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 except for any unenforceability that, individually or in the aggregate, would not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Authorization of Placement Shares</w:t>
      </w:r>
      <w:r>
        <w:rPr>
          <w:rFonts w:ascii="Times New Roman;Times;Serif" w:hAnsi="Times New Roman;Times;Serif"/>
          <w:b w:val="false"/>
          <w:i w:val="false"/>
          <w:caps w:val="false"/>
          <w:smallCaps w:val="false"/>
          <w:sz w:val="20"/>
        </w:rPr>
        <w:t>. The Placement Shares, when issued and delivered pursuant to the terms approved by the board of directors of the Company or a duly authorized committee thereof, against payment therefor as provided herein, and upon entry into the Company’s register of members,will be duly authorized, validly issued and fully paid and non-assessable, and, subject to the Articles, free and clear of any pledge, lien, encumbrance, security interest or other claim, including any statutory or contractual preemptive rights, resale rights, rights of first refusal or other similar rights, and will be registered pursuant to Section 12 of the Exchange Act. The Placement Shares, when issued, will conform in all material respects to the description thereof set forth in or incorporated into the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No Consents Required</w:t>
      </w:r>
      <w:r>
        <w:rPr>
          <w:rFonts w:ascii="Times New Roman;Times;Serif" w:hAnsi="Times New Roman;Times;Serif"/>
          <w:b w:val="false"/>
          <w:i w:val="false"/>
          <w:caps w:val="false"/>
          <w:smallCaps w:val="false"/>
          <w:sz w:val="20"/>
        </w:rPr>
        <w:t>. No consent, approval, authorization, order, registration or qualification of or with any court or arbitrator or governmental or regulatory authority having jurisdiction over the Company is required for the execution, delivery and performance by the Company this Agreement, the issuance and sale by the Company of the Placement Shares, except for such consents, approvals, authorizations, orders and registrations or qualifications as may been obtained or be required under applicable state securities laws or by the by-laws and rules of the Financial Industry Regulatory Authority (“FINRA”) or the Exchange in connection with the sale of the Placement Shares by the Agent.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No Preferential Rights</w:t>
      </w:r>
      <w:r>
        <w:rPr>
          <w:rFonts w:ascii="Times New Roman;Times;Serif" w:hAnsi="Times New Roman;Times;Serif"/>
          <w:b w:val="false"/>
          <w:i w:val="false"/>
          <w:caps w:val="false"/>
          <w:smallCaps w:val="false"/>
          <w:sz w:val="20"/>
        </w:rPr>
        <w:t>. (i) No person, as such term is defined in Rule 1-02 of Regulation S-X promulgated under the Securities Act (each, a “Person”), has the right, contractual or otherwise, to cause the Company to issue or sell to such Person any Shares or other securities of the Company (other than upon the exercise of options or warrants to purchase Shares), (ii) no Person has any preemptive rights, resale rights, rights of first refusal, or any other rights (whether pursuant to a “poison pill” provision or otherwise) to purchase any Shares or other securities of the Company, (iii) no Person, other than the Agent, has the right to act as an underwriter or as a financial advisor to the Company in connection with the offer and sale of the Placement Shares, and (iv) no Person has the right, contractual or otherwise, to require the Company to register under the Securities Act any Shares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 except for such rights as have been or will be duly waived on or prior to the date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Independent Public Accountant</w:t>
      </w:r>
      <w:r>
        <w:rPr>
          <w:rFonts w:ascii="Times New Roman;Times;Serif" w:hAnsi="Times New Roman;Times;Serif"/>
          <w:b w:val="false"/>
          <w:i w:val="false"/>
          <w:caps w:val="false"/>
          <w:smallCaps w:val="false"/>
          <w:sz w:val="20"/>
        </w:rPr>
        <w:t>. The Company’s accountant, whose report on the financial statements of the Company is filed with the Commission as part of the Company’s most recent Annual Report on Form 20-F filed with the Commission and incorporated by reference into the Registration Statement and the Prospectus, are and, during the periods covered by their report, were an independent registered public accounting firm with respect to the Company within the meaning of the Securities Act and the Public Company Accounting Oversight Board (United States). To the Company’s knowledge, the Company’s accountants are not in violation of the auditor independence requirements of the Sarbanes-Oxley Act of 2002 (the “Sarbanes-Oxley Act”) with respect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Enforceability of Agreements</w:t>
      </w:r>
      <w:r>
        <w:rPr>
          <w:rFonts w:ascii="Times New Roman;Times;Serif" w:hAnsi="Times New Roman;Times;Serif"/>
          <w:b w:val="false"/>
          <w:i w:val="false"/>
          <w:caps w:val="false"/>
          <w:smallCaps w:val="false"/>
          <w:sz w:val="20"/>
        </w:rPr>
        <w:t>. All agreements between the Company and third parties expressly referenced in the Prospectus, other than such agreements that have expired by their terms or the termination of which is disclosed in documents filed by the Company on EDGAR, are 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 except for any unenforceability that, individually or in the aggregate, would not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There are no legal, governmental or regulatory actions, suits or proceedings pending, nor, to the Company’s knowledge, any legal, governmental or regulatory investigations, to which the Company or any Subsidiary is a party or to which any property of the Company or any Subsidiary is the subject that, individually or in the aggregate, if determined adversely to the Company or any Subsidiary, would have a Material Adverse Effect or materially and adversely affect the ability of the Company to perform its obligations under this Agreement; to the Company’s knowledge, no such actions, suits or proceedings are threatened or contemplated by any governmental or regulatory authority or threatened by others that, individually or in the aggregate, if determined adversely to the Company or any Subsidiary, would reasonably be expected to have a Material Adverse Effect; and (i) there are no current or pending legal, governmental or regulatory audits or investigations, actions, suits or proceedings that are required under the Securities Act to be described in the Prospectus that are not so described; and (ii) there are no contracts or other documents that are required under the Securities Act to be filed as exhibits to the Registration Statement that are not so filed.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Licenses and Permits</w:t>
      </w:r>
      <w:r>
        <w:rPr>
          <w:rFonts w:ascii="Times New Roman;Times;Serif" w:hAnsi="Times New Roman;Times;Serif"/>
          <w:b w:val="false"/>
          <w:i w:val="false"/>
          <w:caps w:val="false"/>
          <w:smallCaps w:val="false"/>
          <w:sz w:val="20"/>
        </w:rPr>
        <w:t>. The Company and the Subsidiaries have made all filings, applications and submissions required by, possesses and is operating in compliance with, all approvals, licenses, certificates, consents, orders,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Registration Statement and the Prospectus (the “Permits”), except where the failure to possess, obtain or make the same would not, individually or in the aggregate, have a Material Adverse Effect. Neither the Company nor any Subsidiary has received written notice of any proceeding relating to revocation or modification of any such Permit or has any reason to believe that such Permit will not be renewed in the ordinary course, except where the failure to obtain any such renewal would not, individually or in the aggregate,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Regulatory Filings</w:t>
      </w:r>
      <w:r>
        <w:rPr>
          <w:rFonts w:ascii="Times New Roman;Times;Serif" w:hAnsi="Times New Roman;Times;Serif"/>
          <w:b w:val="false"/>
          <w:i w:val="false"/>
          <w:caps w:val="false"/>
          <w:smallCaps w:val="false"/>
          <w:sz w:val="20"/>
        </w:rPr>
        <w:t>. The Company has not failed to file with the applicable regulatory authorities any required filing, declaration, listing, registration, report or submission, except for such failures that, individually or in the aggregate, would not reasonably be expected to have a Material Adverse Effect; all such filings, declarations, listings, registrations, reports or submissions were in compliance with applicable laws when filed and no deficiencies have been asserted by any applicable regulatory authority with respect to any such filings, declarations, listings, registrations, reports or submissions, except for any deficiencies that, individually or in the aggregate, would not have a Material Adverse Effect.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Market Capitalization</w:t>
      </w:r>
      <w:r>
        <w:rPr>
          <w:rFonts w:ascii="Times New Roman;Times;Serif" w:hAnsi="Times New Roman;Times;Serif"/>
          <w:b w:val="false"/>
          <w:i w:val="false"/>
          <w:caps w:val="false"/>
          <w:smallCaps w:val="false"/>
          <w:sz w:val="20"/>
        </w:rPr>
        <w:t>. (i) At the time of filing the Registration Statement and (ii) at the time of the most recent amendment thereto for the purposes of complying with Section 10(a)(3) of the Securities Act (whether such amendment was by post-effective amendment, incorporated report filed pursuant to Section 13 or 15(d) of the Exchange Act or form of prospectus), the Company met the then applicable requirements for the use of Form F-3 under the Securities Act, including compliance with General Instruction I.B.1 of Form F-3, as applicable. The Company is not a shell company (as defined in Rule 405 under the Securities Act) and has not been a shell company for at least 12 calendar months previously and if it has been a shell company at any time previously, has filed current Form 10 information (as defined in Instruction I.B.5 of Form F-3) with the Commission at least 12 calendar months previously reflecting its status as an entity that is not a shell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No Material Defaults</w:t>
      </w:r>
      <w:r>
        <w:rPr>
          <w:rFonts w:ascii="Times New Roman;Times;Serif" w:hAnsi="Times New Roman;Times;Serif"/>
          <w:b w:val="false"/>
          <w:i w:val="false"/>
          <w:caps w:val="false"/>
          <w:smallCaps w:val="false"/>
          <w:sz w:val="20"/>
        </w:rPr>
        <w:t>. Neither the Company nor any Subsidiary has defaulted on any installment on indebtedness for borrowed money or on any rental on one or more long-term leases, which defaults, individually or in the aggregate, would reasonably be expected to have a Material Adverse Effect. The Company has not filed a report pursuant to Section 13(a) or 15(d) of the Exchange Act since the filing of its last Annual Report on Form 20-F, indicating that it (i) has failed to pay any dividend or sinking fund installment on preferred share or (ii) has defaulted on any installment on indebtedness for borrowed money or on any rental on one or more long-term leases, which defaults, individually or in the aggregate, would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Certain Market Activities</w:t>
      </w:r>
      <w:r>
        <w:rPr>
          <w:rFonts w:ascii="Times New Roman;Times;Serif" w:hAnsi="Times New Roman;Times;Serif"/>
          <w:b w:val="false"/>
          <w:i w:val="false"/>
          <w:caps w:val="false"/>
          <w:smallCaps w:val="false"/>
          <w:sz w:val="20"/>
        </w:rPr>
        <w:t>. Neither the Company, any Subsidiary nor any of its directors, officers or controlling persons has taken, directly or indirectly, any action designed, or that has constituted or would reasonably be expected to cause or result in, under the Exchange Act or otherwise, the stabilization or manipulation of the price of any security of the Company to facilitate the sale or resale of the Placement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Broker/Dealer Relationships</w:t>
      </w:r>
      <w:r>
        <w:rPr>
          <w:rFonts w:ascii="Times New Roman;Times;Serif" w:hAnsi="Times New Roman;Times;Serif"/>
          <w:b w:val="false"/>
          <w:i w:val="false"/>
          <w:caps w:val="false"/>
          <w:smallCaps w:val="false"/>
          <w:sz w:val="20"/>
        </w:rPr>
        <w:t>. Neither the Company, any of its Subsidiaries, nor any of the Company’s affiliates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rules and regulations of FINRA).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No Reliance</w:t>
      </w:r>
      <w:r>
        <w:rPr>
          <w:rFonts w:ascii="Times New Roman;Times;Serif" w:hAnsi="Times New Roman;Times;Serif"/>
          <w:b w:val="false"/>
          <w:i w:val="false"/>
          <w:caps w:val="false"/>
          <w:smallCaps w:val="false"/>
          <w:sz w:val="20"/>
        </w:rPr>
        <w:t>. The Company has not relied upon the Agent or legal counsel for the Agent for any legal, tax or accounting advice in connection with the offering and sale of the Placement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Company and the Subsidiaries have filed all federal, state, local and foreign tax returns which have been required to be filed and paid all taxes shown thereon through the date hereof, to the extent that such taxes have become due and are not being contested in good faith, except where the failure to file or pay would not have a Material Adverse Effect. Except as otherwise disclosed in or contemplated by the Registration Statement or the Prospectus, no tax deficiency has been determined adversely to the Company or any Subsidiary which has had, individually or in the aggregate, a Material Adverse Effect. The Company has no knowledge of any federal, state or other governmental tax deficiency, penalty or assessment which has been asserted or threatened against it which would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Title to Real and Personal Property</w:t>
      </w:r>
      <w:r>
        <w:rPr>
          <w:rFonts w:ascii="Times New Roman;Times;Serif" w:hAnsi="Times New Roman;Times;Serif"/>
          <w:b w:val="false"/>
          <w:i w:val="false"/>
          <w:caps w:val="false"/>
          <w:smallCaps w:val="false"/>
          <w:sz w:val="20"/>
        </w:rPr>
        <w:t>. The Company and the Subsidiaries have good and marketable title to all items of real property owned by them and good and valid title to all personal property described in the Registration Statement or Prospectus as being owned by them that are material to the businesses of the Company or such Subsidiary, in each case free and clear of all liens, encumbrances and claims, except those that (i) do not materially interfere with the use made and proposed to be made of such property by the Company and the Subsidiaries or (ii) would not, individually or in the aggregate, have a Material Adverse Effect. Any real property described in the Registration Statement or Prospectus as being leased by the Company and the Subsidiaries is held by them under valid, existing and enforceable leases, except those that (A) do not materially interfere with the use made or proposed to be made of such property by the Company or the Subsidiaries or (B) would not have a Material Adverse Effect.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the Subsidiaries own or possess enforceable rights to use all patents, patent applications, trademarks (both registered and unregistered), service marks, trade names, trademark registrations, service mark registrations, copyrights, licenses and know-how (including trade secrets and other unpatented and/or unpatentable proprietary or confidential information, systems or procedures) (collectively, the “Intellectual Property”), necessary for the conduct of their respective businesses as conducted as of the date hereof, except to the extent that the failure to own or possess adequate rights to use such Intellectual Property would not, individually or in the aggregate, reasonably be expected to have a Material Adverse Effect; neither the Company nor any Subsidiary has received any written notice of any claim of infringement or conflict which asserted Intellectual Property rights of others, which infringement or conflict, if the subject of an unfavorable decision, would result in a Material Adverse Effect; there are no pending, or to the Company’s knowledge, threatened judicial proceedings or interference proceedings challenging the Company’s or any Subsidiary’s rights in or to or the validity of the scope of any of the Company’s or any Subsidiary’s patents, patent applications or proprietary information, except if such proceedings would not, individually or in the aggregate,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Except as set forth in the Registration Statement or the Prospectus, the Company and the Subsidiaries (i) are in compliance with any and all applicable federal, state, local and foreign laws, rules, regulations, decisions and orders relating to the protection of human health and safety, the environment or hazardous or toxic substances or wastes, pollutants or contaminants (collectively, “Environmental Laws”); (ii) have received and are in compliance with all permits, licenses or other approvals required of them under applicable Environmental Laws to conduct their respective businesses as described in the Registration Statement and the Prospectus; and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Disclosure Controls</w:t>
      </w:r>
      <w:r>
        <w:rPr>
          <w:rFonts w:ascii="Times New Roman;Times;Serif" w:hAnsi="Times New Roman;Times;Serif"/>
          <w:b w:val="false"/>
          <w:i w:val="false"/>
          <w:caps w:val="false"/>
          <w:smallCaps w:val="false"/>
          <w:sz w:val="20"/>
        </w:rPr>
        <w:t>. The Company maintains systems of internal controls designed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is not aware of any material weaknesses in its internal control over financial reporting (other than as set forth in the Prospectus or the Incorporated Documents). Since the date of the latest audited financial statements of the Company included in the Prospectus, there has been no change in the Company’s internal control over financial reporting that has materially affected, or is reasonably likely to materially affect, the Company’s internal control over financial reporting (other than as set forth in the Prospectus). The Company has established disclosure controls and procedures (as defined in Exchange Act Rules 13a-15 and 15d-15) for the Company and designed such disclosure controls and procedures to ensure that material information relating to the Company is made known to the certifying officers by others within those entities, particularly during the period in which the Company’s Annual Report on Form 20-F, as the case may be, is being prepared. The Company’s certifying officers have evaluated the effectiveness of the Company’s disclosure controls and procedures as of a date within 90 days prior to the filing date of the Form 20-F for the fiscal year most recently ended (such date, the “Evaluation Date”). The Company presented in its Form 20-F for the fiscal year most recently ended the conclusions of the certifying officers about the effectiveness of the disclosure controls and procedures based on their evaluations as of the Evaluation Date. Since the Evaluation Date, there have been no significant changes in the Company’s internal controls or, to the Company’s knowledge, in other factors that would be reasonably expected to significantly affect the Company’s internal controls. To the knowledge of the Company, the Company’s “internal controls over financial reporting” and “disclosure controls and procedures” were not effective.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Sarbanes-Oxley</w:t>
      </w:r>
      <w:r>
        <w:rPr>
          <w:rFonts w:ascii="Times New Roman;Times;Serif" w:hAnsi="Times New Roman;Times;Serif"/>
          <w:b w:val="false"/>
          <w:i w:val="false"/>
          <w:caps w:val="false"/>
          <w:smallCaps w:val="false"/>
          <w:sz w:val="20"/>
        </w:rPr>
        <w:t>. There has been no failure on the part of the Company or, any of the Company’s directors or officers, in their capacities as such, to comply with any applicable provisions of the Sarbanes-Oxley Act and the applicable rules and regulations promulgated thereunder in all material respects.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during the 12 months prior to the date of this Agreement. For purposes of the preceding sentence, “principal executive officer” and “principal financial officer” shall have the meanings given to such terms in the Sarbanes-Oxley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Finder’s Fees</w:t>
      </w:r>
      <w:r>
        <w:rPr>
          <w:rFonts w:ascii="Times New Roman;Times;Serif" w:hAnsi="Times New Roman;Times;Serif"/>
          <w:b w:val="false"/>
          <w:i w:val="false"/>
          <w:caps w:val="false"/>
          <w:smallCaps w:val="false"/>
          <w:sz w:val="20"/>
        </w:rPr>
        <w:t>. Neither the Company nor any Subsidiary has incurred any liability for any finder’s fees, brokerage commissions or similar payments in connection with the transactions herein contemplated, except as may otherwise exist with respect to Agent pursuant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Labor Disputes</w:t>
      </w:r>
      <w:r>
        <w:rPr>
          <w:rFonts w:ascii="Times New Roman;Times;Serif" w:hAnsi="Times New Roman;Times;Serif"/>
          <w:b w:val="false"/>
          <w:i w:val="false"/>
          <w:caps w:val="false"/>
          <w:smallCaps w:val="false"/>
          <w:sz w:val="20"/>
        </w:rPr>
        <w:t>. No labor disturbance by or dispute with employees of the Company or any Subsidiary exists or, to the knowledge of the Company, is threatened which would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Neither the Company or any Subsidiary is or, after giving effect to the offering and sale of the Placement Shares, will it be an “investment company” or an entity “controlled” by an “investment company,” as such terms are defined in the Investment Company Act of 1940, as amended (the “Investment Company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The operations of the Company and the Subsidiaries are and have been conducted at all times in compliance with applicable financial record keeping and reporting requirements of the Currency and Foreign Transactions Reporting Act of 1970, as amended, the money laundering statutes of all jurisdictions to which the Company or the Subsidiaries are subject, the rules and regulations thereunder and any related or similar rules, regulations or guidelines, issued, administered or enforced by any governmental agency (collectively, the “Money Laundering Laws”), except as would not have a Material Adverse Effect; and no action, suit or proceeding by or before any court or governmental agency, authority or body or any arbitrator involving the Company or any Subsidiary with respect to the Money Laundering Laws is pending or, to the knowledge of the Company, threatened.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Off-Balance Sheet Arrangements</w:t>
      </w:r>
      <w:r>
        <w:rPr>
          <w:rFonts w:ascii="Times New Roman;Times;Serif" w:hAnsi="Times New Roman;Times;Serif"/>
          <w:b w:val="false"/>
          <w:i w:val="false"/>
          <w:caps w:val="false"/>
          <w:smallCaps w:val="false"/>
          <w:sz w:val="20"/>
        </w:rPr>
        <w:t>. There are no transactions, arrangements and other relationships between and/or among the Company, and/or, to the knowledge of the Company, any of its affiliates and any unconsolidated entity, including, but not limited to, any structured finance, special purpose or limited purpose entity (each, an “Off Balance Sheet Transaction”) that would reasonably be expected to affect materially the Company’s liquidity or the availability of or requirements for its capital resources required to be described in the Prospectus which have not been described as required.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w:t>
      </w:r>
      <w:r>
        <w:rPr>
          <w:rFonts w:ascii="Times New Roman;Times;Serif" w:hAnsi="Times New Roman;Times;Serif"/>
          <w:b w:val="false"/>
          <w:i w:val="false"/>
          <w:caps w:val="false"/>
          <w:smallCaps w:val="false"/>
          <w:sz w:val="20"/>
          <w:u w:val="single"/>
        </w:rPr>
        <w:t>Other Agreements</w:t>
      </w:r>
      <w:r>
        <w:rPr>
          <w:rFonts w:ascii="Times New Roman;Times;Serif" w:hAnsi="Times New Roman;Times;Serif"/>
          <w:b w:val="false"/>
          <w:i w:val="false"/>
          <w:caps w:val="false"/>
          <w:smallCaps w:val="false"/>
          <w:sz w:val="20"/>
        </w:rPr>
        <w:t>. The Company is not a party to any agreement with an agent or underwriter for any other “at the market” or continuous equity transaction other than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(kk)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To the knowledge of the Company, each material employee benefit plan, within the meaning of Section 3(3) of the Employee Retirement Income Security Act of 1974, as amended (“ERISA”), that is maintained, administered or contributed to by the Company or any of its affiliates for employees or former employees of the Company and the Subsidiaries has been maintained in material compliance with its terms and the requirements of any applicable statutes, orders, rules and regulations, including but not limited to ERISA and the Internal Revenue Code of 1986, as amended (the “Code”);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(ll) </w:t>
      </w:r>
      <w:r>
        <w:rPr>
          <w:rFonts w:ascii="Times New Roman;Times;Serif" w:hAnsi="Times New Roman;Times;Serif"/>
          <w:b w:val="false"/>
          <w:i w:val="false"/>
          <w:caps w:val="false"/>
          <w:smallCaps w:val="false"/>
          <w:sz w:val="20"/>
          <w:u w:val="single"/>
        </w:rPr>
        <w:t>Forward Looking Statements</w:t>
      </w:r>
      <w:r>
        <w:rPr>
          <w:rFonts w:ascii="Times New Roman;Times;Serif" w:hAnsi="Times New Roman;Times;Serif"/>
          <w:b w:val="false"/>
          <w:i w:val="false"/>
          <w:caps w:val="false"/>
          <w:smallCaps w:val="false"/>
          <w:sz w:val="20"/>
        </w:rPr>
        <w:t>. No forward-looking statement (within the meaning of Section 27A of the Securities Act and Section 21E of the Exchange Act) (a “Forward Looking Statement”) contained in the Registration Statement and the Prospectus (i) has been made or reaffirmed without a reasonable basis or has been disclosed other than in good faith, or (ii) has been prepared other than in accordance with Item 10 of Regulation S-K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(mm) </w:t>
      </w:r>
      <w:r>
        <w:rPr>
          <w:rFonts w:ascii="Times New Roman;Times;Serif" w:hAnsi="Times New Roman;Times;Serif"/>
          <w:b w:val="false"/>
          <w:i w:val="false"/>
          <w:caps w:val="false"/>
          <w:smallCaps w:val="false"/>
          <w:sz w:val="20"/>
          <w:u w:val="single"/>
        </w:rPr>
        <w:t>Margin Rules</w:t>
      </w:r>
      <w:r>
        <w:rPr>
          <w:rFonts w:ascii="Times New Roman;Times;Serif" w:hAnsi="Times New Roman;Times;Serif"/>
          <w:b w:val="false"/>
          <w:i w:val="false"/>
          <w:caps w:val="false"/>
          <w:smallCaps w:val="false"/>
          <w:sz w:val="20"/>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(nn)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carry, or are covered by, insurance in such amounts and covering such risks as the Company and the Subsidiaries reasonably believe is adequate for the conduct of their business and as is customary for companies of similar size engaged in similar businesses in similar industries.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(oo) </w:t>
      </w:r>
      <w:r>
        <w:rPr>
          <w:rFonts w:ascii="Times New Roman;Times;Serif" w:hAnsi="Times New Roman;Times;Serif"/>
          <w:b w:val="false"/>
          <w:i w:val="false"/>
          <w:caps w:val="false"/>
          <w:smallCaps w:val="false"/>
          <w:sz w:val="20"/>
          <w:u w:val="single"/>
        </w:rPr>
        <w:t>No Improper Practices</w:t>
      </w:r>
      <w:r>
        <w:rPr>
          <w:rFonts w:ascii="Times New Roman;Times;Serif" w:hAnsi="Times New Roman;Times;Serif"/>
          <w:b w:val="false"/>
          <w:i w:val="false"/>
          <w:caps w:val="false"/>
          <w:smallCaps w:val="false"/>
          <w:sz w:val="20"/>
        </w:rPr>
        <w:t>. (i) Neither the Company nor, to the Company’s knowledge, the Subsidiaries nor any of their respective executive officers has, in the past five years,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Prospectus; (ii) no relationship, direct or indirect, exists between or among the Company or, to the Company’s knowledge, the Subsidiaries or any affiliate of any of them, on the one hand, and the directors, officers and shareholders of the Company or, to the Company’s knowledge, the Subsidiaries, on the other hand, that is required by the Securities Act to be described in the Registration Statement and the Prospectus that is not so described; (iii) no relationship, direct or indirect, exists between or among the Company or the Subsidiaries or, to the Company’s knowledge, any affiliate of them, on the one hand, and the directors, officers or shareholders of the Company or, to the Company’s knowledge, the Subsidiaries, on the other hand, that is required by the rules of FINRA to be described in the Registration Statement and the Prospectus that is not so described; (iv) there are no material outstanding loans or advances or material guarantees of indebtedness by the Company or, to the Company’s knowledge, the Subsidiaries to or for the benefit of any of the Company’s executive officers or directors or any of the members of the families of any of them; (v) the Company has not offered, or caused any placement agent to offer, Shares to any person with the intent to influence unlawfully (A) a customer or supplier of the Company or the Subsidiaries to alter the customer’s or supplier’s level or type of business with the Company or the Subsidiaries or (B) a trade journalist or publication to write or publish favorable information about the Company or the Subsidiaries or any of their respective products or services, and, (vi) neither the Company nor the Subsidiaries nor, to the Company’s knowledge, any employee or agent of the Company or the Subsidiaries has made any payment of funds of the Company or the Subsidiaries or received or retained any funds in violation of any law, rule or regulation (including, without limitation, the Foreign Corrupt Practices Act of 1977), which payment, receipt or retention of funds is of a character required to be disclosed in the Registration Statement or the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(pp) </w:t>
      </w:r>
      <w:r>
        <w:rPr>
          <w:rFonts w:ascii="Times New Roman;Times;Serif" w:hAnsi="Times New Roman;Times;Serif"/>
          <w:b w:val="false"/>
          <w:i w:val="false"/>
          <w:caps w:val="false"/>
          <w:smallCaps w:val="false"/>
          <w:sz w:val="20"/>
          <w:u w:val="single"/>
        </w:rPr>
        <w:t>Status Under the Securities Act</w:t>
      </w:r>
      <w:r>
        <w:rPr>
          <w:rFonts w:ascii="Times New Roman;Times;Serif" w:hAnsi="Times New Roman;Times;Serif"/>
          <w:b w:val="false"/>
          <w:i w:val="false"/>
          <w:caps w:val="false"/>
          <w:smallCaps w:val="false"/>
          <w:sz w:val="20"/>
        </w:rPr>
        <w:t>. The Company was not and is not an ineligible issuer as defined in Rule 405 under the Securities Act at the times specified in Rules 164 and 433 under the Securities Act in connection with the offering of Placement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(qq) </w:t>
      </w:r>
      <w:r>
        <w:rPr>
          <w:rFonts w:ascii="Times New Roman;Times;Serif" w:hAnsi="Times New Roman;Times;Serif"/>
          <w:b w:val="false"/>
          <w:i w:val="false"/>
          <w:caps w:val="false"/>
          <w:smallCaps w:val="false"/>
          <w:sz w:val="20"/>
          <w:u w:val="single"/>
        </w:rPr>
        <w:t>No Misstatement or Omission in an Issuer Free Writing Prospectus</w:t>
      </w:r>
      <w:r>
        <w:rPr>
          <w:rFonts w:ascii="Times New Roman;Times;Serif" w:hAnsi="Times New Roman;Times;Serif"/>
          <w:b w:val="false"/>
          <w:i w:val="false"/>
          <w:caps w:val="false"/>
          <w:smallCaps w:val="false"/>
          <w:sz w:val="20"/>
        </w:rPr>
        <w:t>. Each Issuer Free Writing Prospectus, as of its issue date and as of each Applicable Time (as defined below), did not, does not and will not, through the completion of the Placement for which such Issuer Free Writing Prospectus is used or deemed used, include any information that conflicted, conflicts or will conflict with the information contained in the Registration Statement or the Prospectus, including any incorporated document deemed to be a part thereof that has not been superseded or modified. The foregoing sentence does not apply to statements in or omissions from any Issuer Free Writing Prospectus based upon and in conformity with written information furnished to the Company by the Agent specifically for use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(rr)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Neither the execution of this Agreement by the Company, nor the issuance, offering or sale of the Placement Shares, nor the consummation of any of the transactions contemplated herein, nor, the compliance by the Company with the terms and provisions 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 (ii) such conflicts, breaches and defaults that would not have a Material Adverse Effect; nor will such action result (x) in any violation of the provisions of the organizational or governing documents of the Company, or (y) in any violation of the provisions of any statute or any order, rule or regulation applicable to the Company or of any court or of any federal, state or other regulatory authority or other government body having jurisdiction over the Company, other than in each case any such conflict, breach or violation that, individually or in the aggregate, which would not have a Material Adverse Effect.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(ss)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(i) The Company represents that, neither it nor any Subsidiary (collectively, the “Entity”) nor, any director, officer, employee, nor to the Entity’s knowledge, any agent, affiliate or representative of the Entity, is a government, individual, or entity (in this paragraph (tt), “Covered Person”) that is, or is owned or controlled by a Covered Person that is: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subject of any sanctions administered or enforced by the U.S. Department of Treasury’s Office of Foreign Assets Control (“OFAC”), the United Nations Security Council, the European Union, His Majesty’s Treasury, or other relevant sanctions authority (collectively, “Sanctions”), nor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located, organized or resident in a country or territory that is the subject of Sanctions administered by OFAC.</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jc w:val="center"/>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represents and covenants that it will not, directly or indirectly, use the proceeds of the offering, or lend, contribute or otherwise make available such proceeds to any subsidiary, joint venture partner or other Covered Person:</w:t>
      </w:r>
    </w:p>
    <w:p>
      <w:pPr>
        <w:pStyle w:val="TextBody"/>
        <w:bidi w:val="0"/>
        <w:spacing w:before="0" w:after="0"/>
        <w:ind w:left="240" w:right="0" w:firstLine="48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fund or facilitate any activities or business of or with any Covered Person or in any country or territory that, at the time of such funding or facilitation, is the subject of Sanctions;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any other manner that will result in a violation of Sanctions by any Covered Person (including any Covered Person participating in the offering, whether as underwriter, advisor, investor or otherwise).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represents and covenants that, except as detailed in the Prospectus, for the past 5 years, neither it or any Entity knowingly engaged in, is not now knowingly engaged in, and will not knowingly engage in, any dealings or transactions with any Covered Person, or in any country or territory, that at the time of the dealing or transaction is or was the subject of Sanctions.</w:t>
      </w:r>
    </w:p>
    <w:p>
      <w:pPr>
        <w:pStyle w:val="TextBody"/>
        <w:bidi w:val="0"/>
        <w:spacing w:before="0" w:after="0"/>
        <w:ind w:left="240" w:right="0" w:firstLine="4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(tt) </w:t>
      </w:r>
      <w:r>
        <w:rPr>
          <w:rFonts w:ascii="Times New Roman;Times;Serif" w:hAnsi="Times New Roman;Times;Serif"/>
          <w:b w:val="false"/>
          <w:i w:val="false"/>
          <w:caps w:val="false"/>
          <w:smallCaps w:val="false"/>
          <w:sz w:val="20"/>
          <w:u w:val="single"/>
        </w:rPr>
        <w:t>Share Transfer Taxes</w:t>
      </w:r>
      <w:r>
        <w:rPr>
          <w:rFonts w:ascii="Times New Roman;Times;Serif" w:hAnsi="Times New Roman;Times;Serif"/>
          <w:b w:val="false"/>
          <w:i w:val="false"/>
          <w:caps w:val="false"/>
          <w:smallCaps w:val="false"/>
          <w:sz w:val="20"/>
        </w:rPr>
        <w:t>. On each Settlement Date, all share transfer or other taxes (other than income taxes) which are required to be paid in connection with the sale and transfer of the Placement Shares to be sold hereunder will be, or will have been, fully paid or provided for by the Company and all laws imposing such taxes will be or will have been fully complied with in all material respects.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(uu) </w:t>
      </w:r>
      <w:r>
        <w:rPr>
          <w:rFonts w:ascii="Times New Roman;Times;Serif" w:hAnsi="Times New Roman;Times;Serif"/>
          <w:b w:val="false"/>
          <w:i w:val="false"/>
          <w:caps w:val="false"/>
          <w:smallCaps w:val="false"/>
          <w:sz w:val="20"/>
          <w:u w:val="single"/>
        </w:rPr>
        <w:t>IT Systems</w:t>
      </w:r>
      <w:r>
        <w:rPr>
          <w:rFonts w:ascii="Times New Roman;Times;Serif" w:hAnsi="Times New Roman;Times;Serif"/>
          <w:b w:val="false"/>
          <w:i w:val="false"/>
          <w:caps w:val="false"/>
          <w:smallCaps w:val="false"/>
          <w:sz w:val="20"/>
        </w:rPr>
        <w:t>. To the knowledge of Company, there has been no security breach or attack or other compromise of or relating to any of the Company’s and its Subsidiaries’ information technology and computer systems, networks, hardware, software, data (including the data of their respective customers, employees, suppliers, vendors and any third party data maintained by or on behalf of them), equipment or technology (“IT Systems and Data”), and (y) the Company and its Subsidiaries have not been notified of, and have no knowledge of any event or condition that would reasonably be expected to result in any security breach, attack or compromise to their IT Systems and Data which in any case would have a Material Adverse Effect on the Company and its Subsidiaries taken as a whole, (ii) the Company and each of its Subsidiaries have complied, and are presently in compliance with, all applicable laws, statutes or any judgment, order, rule or regulation of any court or arbitrator or governmental or regulatory authority and all industry guidelines, standards, internal policies and contractual obligations relating to the privacy and security of IT Systems and Data and to the protection of such IT Systems and Data from unauthorized use, access, misappropriation or modification, except for such non-compliance which has not had any Material Adverse Effect on the Company and its Subsidiaries taken as a whole and (iii) the Company and each of its Subsidiaries have implemented backup and disaster recovery technology consistent with industry standards and practice.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(vv)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Except as disclosed in the Registration Statement and the Prospectus Supplement, each of the Company and its Subsidiaries: (i) is and at all times has been in compliance with all statutes, rules, or regulations applicable to the ownership, testing, development, manufacture, use, distribution, marketing, labeling, promotion, sale, offer for sale, storage, import, export or disposal of any product marketed, manufactured or distributed by the Company or its Subsidiaries (“Applicable Laws”), except as would not, individually or in the aggregate, reasonably be expected to result in a Material Adverse Effect; (ii) has not received any notice of adverse finding, warning letter, untitled letter or other correspondence or notice from any governmental authority alleging or asserting noncompliance with any Applicable Laws or any licenses, certificates, approvals, clearances, authorizations, permits and supplements or amendments thereto required by any such Applicable Laws (“Authorizations”); (iii) possesses all material Authorizations and such Authorizations are valid and in full force and effect and are not in material violation of any term of any such Authorizations; (iv) has not received notice of any claim, action, suit, proceeding, hearing, enforcement, investigation, arbitration or other action from any governmental authority or third party alleging that any product operation or activity is in violation of any Applicable Laws or Authorizations and has no knowledge that any such governmental authority or third party is considering any such claim, litigation, arbitration, action, suit, investigation or proceeding; (v) has not received notice that any governmental authority has taken, is taking or intends to take action to limit, suspend, modify or revoke any Authorizations and has no knowledge that any such governmental authority is considering such action; and (vi)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on the date filed (or were corrected or supplemented by a subsequent submission).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(ww) </w:t>
      </w:r>
      <w:r>
        <w:rPr>
          <w:rFonts w:ascii="Times New Roman;Times;Serif" w:hAnsi="Times New Roman;Times;Serif"/>
          <w:b w:val="false"/>
          <w:i w:val="false"/>
          <w:caps w:val="false"/>
          <w:smallCaps w:val="false"/>
          <w:sz w:val="20"/>
          <w:u w:val="single"/>
        </w:rPr>
        <w:t>Offering Restrictions</w:t>
      </w:r>
      <w:r>
        <w:rPr>
          <w:rFonts w:ascii="Times New Roman;Times;Serif" w:hAnsi="Times New Roman;Times;Serif"/>
          <w:b w:val="false"/>
          <w:i w:val="false"/>
          <w:caps w:val="false"/>
          <w:smallCaps w:val="false"/>
          <w:sz w:val="20"/>
        </w:rPr>
        <w:t>. Under no circumstances shall the Company cause or request the offer or sale of any Shares if, after giving effect to the sale of such Shares: (i) the aggregate gross sales proceeds sold pursuant to this Agreement would exceed the lesser of (A) together with all sales of Shares under this Agreement, the Maximum Amount, (B) the amount available for offer and sale under the currently effective Registration Statement, or (C) the amount authorized from time to time to be issued and sold under this Agreement by the Company’s board of directors, a duly authorized committee thereof or a duly authorized executive committee, and notified to the Agent in writing; (ii) the sale of such Shares does not constitute an “at the market offering” as defined in Rule 415(a)(4) promulgated under the Securities Act and would result in: (A) the Offering not being deemed a public offering and (B) an issuance of 20% or more of the outstanding Shares of the Company on the date hereof at a price less than the Minimum Price (as defined in Rule 5635(d)(1)(A) of the Nasdaq Listing Rules); or (iii) the total amount of Shares outstanding would exceed the number of Shares authorized by the Articles. Under no circumstances shall the Company cause or request the offer or sale of any Shares at a price lower than the higher of (a) the par value of the Placement Shares at such time; and (b) the minimum price authorized from time to time by the Company’s board of directors, a duly authorized committee thereof or a duly authorized executive committee, and notified to the Agent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 officer of the Company and delivered to the Agent or to counsel for the Agent pursuant to or by the express terms of this Agreement shall be deemed to be a representation and warranty by the Company, as applicable, to the Agent as to the matters set forth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Covenants of the Company</w:t>
      </w:r>
      <w:r>
        <w:rPr>
          <w:rFonts w:ascii="Times New Roman;Times;Serif" w:hAnsi="Times New Roman;Times;Serif"/>
          <w:b w:val="false"/>
          <w:i w:val="false"/>
          <w:caps w:val="false"/>
          <w:smallCaps w:val="false"/>
          <w:sz w:val="20"/>
        </w:rPr>
        <w:t>. The Company covenants and agrees with Agent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Registration Statement Amendments</w:t>
      </w:r>
      <w:r>
        <w:rPr>
          <w:rFonts w:ascii="Times New Roman;Times;Serif" w:hAnsi="Times New Roman;Times;Serif"/>
          <w:b w:val="false"/>
          <w:i w:val="false"/>
          <w:caps w:val="false"/>
          <w:smallCaps w:val="false"/>
          <w:sz w:val="20"/>
        </w:rPr>
        <w:t>. After the date of this Agreement and during any period in which a Prospectus relating to any Placement Shares is required to be delivered by the Agent under the Securities Act (including in circumstances where such requirement may be satisfied pursuant to Rule 172 under the Securities Act): (i) the Company will notify the Agent promptly of the time when any subsequent amendment to the Registration Statement has been filed with the Commission and/or has become effective or any subsequent supplement to the Prospectus has been filed and of any request by the Commission for any amendment or supplement to the Registration Statement or Prospectus or for additional information related to the transactions contemplated by this Agreement; (ii) the Company will, after consultation with its legal counsel, prepare and file with the Commission, promptly upon the Agent’s reasonable request, any amendments or supplements to the Registration Statement or Prospectus that may be necessary or advisable in connection with the distribution of the Placement Shares by the Agent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failure of the Agent to make such request shall not relieve the Company of any obligation or liability hereunder, or affect the Agent’s right to rely on the representations and warranties made by the Company in this Agreement and provided, further, that the only remedy the Agent shall have with respect to the failure to make such filing shall be to cease making sales under this Agreement until such amendment or supplement is filed); (iii) the Company will not file any amendment or supplement to the Registration Statement or Prospectus, other than documents incorporated by reference, relating to the Placement Shares or a security convertible into the Placement Shares unless a copy thereof has been submitted to the Agent within a reasonable period of time before the filing and the Agent has not reasonably objected thereto in writing within two (2) Business Days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 the failure of the Agent to make such objection shall not relieve the Company of any obligation or liability hereunder, or affect the Agent’s right to rely on the representations and warranties made by the Company in this Agreement and (B) the Company has no obligation to provide the Agent any advance copy of such filing or to provide the Agent an opportunity to object to such filing if the filing does not name the Agent or does not relate to the transactions contemplated by this Agreement; and provided, further, that the only remedy the Agent shall have with respect to the failure by the Company to obtain such consent shall be to cease making sales under this Agreement) and the Company will furnish to the Agent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Section 7(a), based on the Company’s reasonable opinion or reasonable objections, shall be made exclusively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 of Commission Stop Orders</w:t>
      </w:r>
      <w:r>
        <w:rPr>
          <w:rFonts w:ascii="Times New Roman;Times;Serif" w:hAnsi="Times New Roman;Times;Serif"/>
          <w:b w:val="false"/>
          <w:i w:val="false"/>
          <w:caps w:val="false"/>
          <w:smallCaps w:val="false"/>
          <w:sz w:val="20"/>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Prospectus; Subsequent Changes</w:t>
      </w:r>
      <w:r>
        <w:rPr>
          <w:rFonts w:ascii="Times New Roman;Times;Serif" w:hAnsi="Times New Roman;Times;Serif"/>
          <w:b w:val="false"/>
          <w:i w:val="false"/>
          <w:caps w:val="false"/>
          <w:smallCaps w:val="false"/>
          <w:sz w:val="20"/>
        </w:rPr>
        <w:t xml:space="preserve">. During any period in which a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the Company will use its commercially reasonable efforts to comply with all requirements imposed upon it by the Securities Act, as from time to time in force, and to file on or before their respective due dates (taking into account any extensions available under the Exchange Act) all reports and any definitive proxy or information statements required to be filed by the Company with the Commission pursuant to Sections 13(a), or 14 or any other provision of or under the Exchange Act. If the Company has omitted any information from the Registration Statement pursuant to Rule 430B under the Securities Act, it will use commercially reasonable efforts to comply with the provisions of and make all requisite filings with the Commission pursuant to said Rule 430B and to notify the Agent promptly of all such filings.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may delay the filing of any such amendment or supplement, if such delay is necessary to comply with applicable law or in the judgment of the Company and upon the advice of the Company’s legal counsel, it is in the best interests of the Company, and provided further that during any such delay (and until such amendment or supplement is filed (and, if required, declared effective)), no Placement Notice shall be delivered and the Agent shall have no obligation to sell any Placement Shares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Listing of Placement Shares</w:t>
      </w:r>
      <w:r>
        <w:rPr>
          <w:rFonts w:ascii="Times New Roman;Times;Serif" w:hAnsi="Times New Roman;Times;Serif"/>
          <w:b w:val="false"/>
          <w:i w:val="false"/>
          <w:caps w:val="false"/>
          <w:smallCaps w:val="false"/>
          <w:sz w:val="20"/>
        </w:rPr>
        <w:t>. Prior to the Settlement Date, the Shares shall have been approved for listing on the Exchange, subject to official notice of issuance, and the Company has taken no action designed to, or likely to have the effect of, delisting the Shares, nor has the Company received any notification that the Exchange is contemplating terminating such listing, except as disclosed in the Registration Statement and the Prospectus Supplement. During any period in which the Prospectus relating to the Placement Shares is required to be delivered by the Agent under the Securities Act with respect to the offer and sale of the Placement Shares, the Company will use commercially reasonable efforts to cause the Placement Shares to be listed on the Exchange.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Delivery of Registration Statement and Prospectus</w:t>
      </w:r>
      <w:r>
        <w:rPr>
          <w:rFonts w:ascii="Times New Roman;Times;Serif" w:hAnsi="Times New Roman;Times;Serif"/>
          <w:b w:val="false"/>
          <w:i w:val="false"/>
          <w:caps w:val="false"/>
          <w:smallCaps w:val="false"/>
          <w:sz w:val="20"/>
        </w:rPr>
        <w:t>. The Company will furnish to the Agent and its counsel (at the reasonable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the Agent may from time to time reasonably request and, at the Agent’s reasonable request, will also furnish copies of the Prospectus to each exchange or market on which sales of the Placement Shares may be made; provided, however, that the Company shall not be required to furnish any document (other than the Prospectus) to the Agent or its counsel to the extent such document is available on EDGAR.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Earnings Statement</w:t>
      </w:r>
      <w:r>
        <w:rPr>
          <w:rFonts w:ascii="Times New Roman;Times;Serif" w:hAnsi="Times New Roman;Times;Serif"/>
          <w:b w:val="false"/>
          <w:i w:val="false"/>
          <w:caps w:val="false"/>
          <w:smallCaps w:val="false"/>
          <w:sz w:val="20"/>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of the Securities Act and Rule 158 under the Securities Act, provided that the Company will be deemed to have furnished such statements to its security holders to the extent they are filed with the Commission on EDGAR.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will use the Net Proceeds as described in the Prospectus in the section entitled “Use of Proceeds.”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 of Other Sales</w:t>
      </w:r>
      <w:r>
        <w:rPr>
          <w:rFonts w:ascii="Times New Roman;Times;Serif" w:hAnsi="Times New Roman;Times;Serif"/>
          <w:b w:val="false"/>
          <w:i w:val="false"/>
          <w:caps w:val="false"/>
          <w:smallCaps w:val="false"/>
          <w:sz w:val="20"/>
        </w:rPr>
        <w:t>. Without prior written consent of the Agent, the Company will not directly or indirectly in any other “at the market” or continuous equity transaction offer to sell, sell, contract to sell, grant any option to sell or otherwise dispose of any Shares (other than the Placement Shares offered pursuant to this Agreement) or securities convertible into or exchangeable for Shares, warrants or any rights to purchase or acquire, Shares prior to the termination of this Agreement; provided, however, that such restrictions will not apply in connection with the Company’s issuance, grant or sale of: (i) Shares, restricted share units, options to purchase Shares or Shares issuable upon the exercise of options, or the vesting of any of the foregoing, pursuant to any share option or benefits plan, share ownership plan or dividend reinvestment plan (but not Shares subject to a waiver to exceed plan limits in its dividend reinvestment plan) of the Company whether now in effect or hereafter implemented; and (ii) Shares issuable upon conversion of securities or the exercise of warrants, options, convertible notes or other rights in effect or outstanding, and disclosed in filings by the Company available on EDGAR or otherwise in writing to the Agent. Without prior written notice of five (5) Business Days to the Agent, the Company will not, directly or indirectly, offer to sell, sell, contract to sell, grant any option to sell or otherwise dispose of any Shares (other than the Placement Shares offered pursuant to this Agreement) or securities convertible into or exchangeable for Shares, warrants or any rights to purchase or acquire,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Change of Circumstances</w:t>
      </w:r>
      <w:r>
        <w:rPr>
          <w:rFonts w:ascii="Times New Roman;Times;Serif" w:hAnsi="Times New Roman;Times;Serif"/>
          <w:b w:val="false"/>
          <w:i w:val="false"/>
          <w:caps w:val="false"/>
          <w:smallCaps w:val="false"/>
          <w:sz w:val="20"/>
        </w:rPr>
        <w:t>. The Company will, at any time during the pendency of a Placement Notice advise the Agent promptly after it shall have received notice or obtained knowledge thereof, of any information or fact that would alter or affect in any material respect any opinion, certificate, letter or other document required to be provided to the Agent pursuant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Due Diligence Cooperation</w:t>
      </w:r>
      <w:r>
        <w:rPr>
          <w:rFonts w:ascii="Times New Roman;Times;Serif" w:hAnsi="Times New Roman;Times;Serif"/>
          <w:b w:val="false"/>
          <w:i w:val="false"/>
          <w:caps w:val="false"/>
          <w:smallCaps w:val="false"/>
          <w:sz w:val="20"/>
        </w:rPr>
        <w:t>. The Company will cooperate with any reasonable due diligence review conducted by the Agent or its representatives in connection with the transactions contemplated hereby, including, without limitation, providing information and making available documents and senior corporate officers, during regular business hours and at the Company’s principal offices, as the Agent may reasonably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Required Filings Relating to Placement of Placement Shares</w:t>
      </w:r>
      <w:r>
        <w:rPr>
          <w:rFonts w:ascii="Times New Roman;Times;Serif" w:hAnsi="Times New Roman;Times;Serif"/>
          <w:b w:val="false"/>
          <w:i w:val="false"/>
          <w:caps w:val="false"/>
          <w:smallCaps w:val="false"/>
          <w:sz w:val="20"/>
        </w:rPr>
        <w:t>. The Company agrees that on such dates as the Securities Act shall require with respect to the Placement Shares, the Company will: (i) file the Prospectus Supplement with the Commission under the applicable paragraph of Rule 424(b) under the Securities Act, which will set forth, within the relevant period, the amount of Placement Shares to be sold through the Agent, the Net Proceeds to the Company and the compensation payable by the Company to the Agent with respect to such Placement Shares; and (ii) deliver such number of copies of the Prospectus Supplement to each exchange or market on which such sales were effected as may be required by the rules or regulations of such exchange or market.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Representation Dates; Certificate</w:t>
      </w:r>
      <w:r>
        <w:rPr>
          <w:rFonts w:ascii="Times New Roman;Times;Serif" w:hAnsi="Times New Roman;Times;Serif"/>
          <w:b w:val="false"/>
          <w:i w:val="false"/>
          <w:caps w:val="false"/>
          <w:smallCaps w:val="false"/>
          <w:sz w:val="20"/>
        </w:rPr>
        <w:t>. On or prior to the date of the first Placement Notice delivered by the Company to the Agent (such date, the “First Placement Date”) and each time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9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9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files an annual report on Form 20-F under the Exchange Act (including any Form 20-F/A containing amended financial information or a material amendment to the previously filed Form 20-F);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9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files a current report on Form 6-K containing amended or updates financial information under the Exchange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9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date of filing of one or more of the documents referred to in clauses (i) through (iii) shall be a “Representation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furnish the Agent (but in the case of clause (iii) above only if the Agent reasonably determines that the information contained in such Form 6-K is material) with a certificate dated the Representation Date, in the form attached hereto as Exhibit 7(l). The requirement to provide a certificate under this Section 7(l) shall be waived for any Representation Date occurring at a time at which no Placement Notice is pending, which waiver shall continue until the earlier to occur of the date the Company delivers a Placement Notice hereunder (which for such calendar quarter shall be considered a Representation Date) and the next occurring Representation Date; provided, however, that such waiver shall not apply for any Representation Date on which the Company files its annual report on Form 20-F. Notwithstanding the foregoing, if the Company subsequently decides to sell Placement Shares following a Representation Date when the Company relied on such waiver and did not provide the Agent with a certificate under this Section 7(l), then before the Company delivers the Placement Notice or the Agent sells any Placement Shares, the Company shall provide the Agent with a certificate, in the form attached hereto as Exhibit 7(l), dated the date of the Placement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Legal Opinion and Negative Assurance Letter</w:t>
      </w:r>
      <w:r>
        <w:rPr>
          <w:rFonts w:ascii="Times New Roman;Times;Serif" w:hAnsi="Times New Roman;Times;Serif"/>
          <w:b w:val="false"/>
          <w:i w:val="false"/>
          <w:caps w:val="false"/>
          <w:smallCaps w:val="false"/>
          <w:sz w:val="20"/>
        </w:rPr>
        <w:t>. (i) On or before the First Placement Date, the Company shall cause to be furnished to the Agent: a written opinion and negative assurance letter of (A) Loeb &amp; Loeb LLP (“Company Counsel”), and (B) the Company’s Cayman Islands counsel, Ogier, or other counsel reasonably satisfactory to the Agent, and (ii) within five (5) Trading Days of each Representation Date with respect to which the Company is obligated to deliver a certificate in the form attached hereto as Exhibit 7(l) for which no waiver is applicable, the Company shall cause to be furnished to the Agent a negative assurance letter of Company Counsel, or other counsel reasonably satisfactory to the Agent, in form and substance reasonably satisfactory to Agent and its counsel; provided, however, the Company shall not be required to furnish any such letter if the Company does not intend to deliver a Placement Notice in such calendar quarter until such time as the Company delivers its next Placement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(i) On or before the First Placement Date and (ii) within five (5) Trading Days of each Representation Date, other than pursuant to Section 7(l)(iii), with respect to which the Company is obligated to deliver a certificate in the form attached hereto as Exhibit 7(l) for which no waiver is applicable, the Company shall cause its independent accountants to furnish the Agent letters (the “Comfort Letters”), dated the date the Comfort Letter is delivered, which shall meet the requirements set forth in this Section 7(n). The Comfort Letter from the Company’s independent accountants shall be in a form and substance reasonably satisfactory to the Agent, (A) confirming that they are an independent registered public accounting firm within the meaning of the Securities Act and the Public Company Account Oversight Board, (B) stating, as of such date, the conclusions and findings of such firm with respect to the financial information and other matters ordinarily covered by accountants’ “comfort letters” to underwriters in connection with registered public offerings (the first such letter, the “Initial Comfort Letter”) and (C)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Market Activities</w:t>
      </w:r>
      <w:r>
        <w:rPr>
          <w:rFonts w:ascii="Times New Roman;Times;Serif" w:hAnsi="Times New Roman;Times;Serif"/>
          <w:b w:val="false"/>
          <w:i w:val="false"/>
          <w:caps w:val="false"/>
          <w:smallCaps w:val="false"/>
          <w:sz w:val="20"/>
        </w:rPr>
        <w:t>. The Company will not, directly or indirectly: (i) take any action designed to cause or result in, or that constitutes or would reasonably be expected to constitute, the stabilization or manipulation of the price of any security of the Company to facilitate the sale or resale of Shares; or (ii) sell, bid for, or purchase Shares in violation of Regulation M, or pay anyone any compensation for soliciting purchases of the Placement Shares other than the Agent; provided, however, that the Company may bid for and purchase shares of its Shares in accordance with Rule 10b-18 under the Exchange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xml:space="preserve">. The Company will conduct its affairs in such a manner so as to reasonably ensure that neither it nor the Subsidiaries will be or become, at any time prior to the termination of this Agreement, an “investment company,” as such term is defined in the Investment Company Act, </w:t>
      </w:r>
      <w:r>
        <w:rPr>
          <w:rFonts w:ascii="Times New Roman;Times;Serif" w:hAnsi="Times New Roman;Times;Serif"/>
          <w:b w:val="false"/>
          <w:i w:val="false"/>
          <w:caps w:val="false"/>
          <w:smallCaps w:val="false"/>
          <w:sz w:val="20"/>
          <w:shd w:fill="FFFFFF" w:val="clear"/>
        </w:rPr>
        <w:t>assuming no change in the Commission’s current interpretation as to entities that are not considered an investment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No Offer to Sell</w:t>
      </w:r>
      <w:r>
        <w:rPr>
          <w:rFonts w:ascii="Times New Roman;Times;Serif" w:hAnsi="Times New Roman;Times;Serif"/>
          <w:b w:val="false"/>
          <w:i w:val="false"/>
          <w:caps w:val="false"/>
          <w:smallCaps w:val="false"/>
          <w:sz w:val="20"/>
        </w:rPr>
        <w:t>. Other than the Prospectus and any Issuer Free Writing Prospectus approved in advance by the Company and the Agent, neither the Agent nor the Company (including its agents and representatives, other than the Agent)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Blue Sky and Other Qualifications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designate and to maintain such qualifications and exemptions in effect for so long as required for the distribution of the Placement Shares (but in no event for less than one year from the date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generally accepted accounting principles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financial statements in accordance with generally accepted accounting principles;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would have a material effect on its financial statements. The Company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is made known to it by others within the organization, particularly during the period in which such periodic reports are being prepared.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 The Company will pay all expenses incident to the performance of its obligations under this Agreement, including: (i) the preparation, filing, including any fees required by the Commission, and printing of the Registration Statement (including financial statements and exhibits) as originally filed and of each amendment and supplement thereto, in such number as the Agent shall reasonably deem necessary; (ii) the printing and delivery to the Agent of this Agreement and such other documents as may be required in connection with the offering, purchase, sale, issuance or delivery of the Placement Shares; (iii) the reasonable fees and disbursements of the counsel, accountants and other advisors to the Company; (iv) the reasonable and documented out-of-pocket expenses of Agent, including reasonable and documented fees and disbursements of counsel to the Agent incurred in connection with (A) entering into the transactions contemplated by this Agreement in an amount not to exceed $65,000 in the aggregate, and (B) in an amount not to exceed $2,500 per calendar quarter thereafter payable only in connection with each Representation Date with respect to which the Company is obligated to deliver a certificate pursuant to Section 7(l) for which no waiver is applicable and excluding the date of this Agreement; (v) the printing and delivery to the Agent of copies of any Permitted Free Writing Prospectus (defined below) and the Prospectus and any amendments or supplements thereto in such number as the Agent shall deem reasonably necessary; (vi) the preparation, printing and delivery to the Agent of copies of the blue sky survey; (vii) the documented fees and expenses of the transfer agent and registrar for the Shares; (viii) the reasonable and documented fees and expenses incident to any review by FINRA of the terms of the sale of the Placement Shares, including fees and expenses of counsel to the Agent; and (ix) the documented fees and expenses incurred in connection with the listing of the Placement Shares on the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Conditions to the Agent’s Obligations</w:t>
      </w:r>
      <w:r>
        <w:rPr>
          <w:rFonts w:ascii="Times New Roman;Times;Serif" w:hAnsi="Times New Roman;Times;Serif"/>
          <w:b w:val="false"/>
          <w:i w:val="false"/>
          <w:caps w:val="false"/>
          <w:smallCaps w:val="false"/>
          <w:sz w:val="20"/>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it in its reasonable judgment, and to the continuing reasonable satisfaction (or waiver by the Agent in its sole discretion) of the following additional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Registration Statement Effective</w:t>
      </w:r>
      <w:r>
        <w:rPr>
          <w:rFonts w:ascii="Times New Roman;Times;Serif" w:hAnsi="Times New Roman;Times;Serif"/>
          <w:b w:val="false"/>
          <w:i w:val="false"/>
          <w:caps w:val="false"/>
          <w:smallCaps w:val="false"/>
          <w:sz w:val="20"/>
        </w:rPr>
        <w:t>. The Registration Statement shall remain effective and shall be available for the sale of all Placement Shares contemplated to be issued by any Placement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Material Notices</w:t>
      </w:r>
      <w:r>
        <w:rPr>
          <w:rFonts w:ascii="Times New Roman;Times;Serif" w:hAnsi="Times New Roman;Times;Serif"/>
          <w:b w:val="false"/>
          <w:i w:val="false"/>
          <w:caps w:val="false"/>
          <w:smallCaps w:val="false"/>
          <w:sz w:val="20"/>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statement of material fact made in the Registration Statement or the Prospectus or any material document incorporated or deemed to be incorporated therein by reference untrue in any material respect or that requires the making of any changes in the Registration Statement, the Prospectus or Incorporated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Misstatement or Material Omission</w:t>
      </w:r>
      <w:r>
        <w:rPr>
          <w:rFonts w:ascii="Times New Roman;Times;Serif" w:hAnsi="Times New Roman;Times;Serif"/>
          <w:b w:val="false"/>
          <w:i w:val="false"/>
          <w:caps w:val="false"/>
          <w:smallCaps w:val="false"/>
          <w:sz w:val="20"/>
        </w:rPr>
        <w:t>. The Agent shall not have advised the Company that the Registration Statement or Prospectus, or any amendment or supplement thereto, contains an untrue statement of fact that in the Agent’s reasonable opinion, in consultation with outside counsel, is material, or omits to state a fact that in the Agent’s reasonable opinion is material and is required to be stated therein or is necessary to make the statements therein not misleading.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Material Changes</w:t>
      </w:r>
      <w:r>
        <w:rPr>
          <w:rFonts w:ascii="Times New Roman;Times;Serif" w:hAnsi="Times New Roman;Times;Serif"/>
          <w:b w:val="false"/>
          <w:i w:val="false"/>
          <w:caps w:val="false"/>
          <w:smallCaps w:val="false"/>
          <w:sz w:val="20"/>
        </w:rPr>
        <w:t>. Except as contemplated in the Prospectus, or disclosed in the Company’s reports filed with the Commission, there shall not have been any Material Adverse Effect, or any development that would reasonably be expected to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Legal Opinion</w:t>
      </w:r>
      <w:r>
        <w:rPr>
          <w:rFonts w:ascii="Times New Roman;Times;Serif" w:hAnsi="Times New Roman;Times;Serif"/>
          <w:b w:val="false"/>
          <w:i w:val="false"/>
          <w:caps w:val="false"/>
          <w:smallCaps w:val="false"/>
          <w:sz w:val="20"/>
        </w:rPr>
        <w:t>. The Agent shall have received the opinion and the negative assurance letter of Company Counsel required to be delivered pursuant to Section 7(m) on or before the date on which such delivery of such opinion and letter, as applicable, is required pursuant to Section 7(m).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The Agent shall have received the Comfort Letter required to be delivered pursuant to Section 7(n) on or before the date on which such delivery of such Comfort Letter is required pursuant to Section 7(n).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Representation Certificate</w:t>
      </w:r>
      <w:r>
        <w:rPr>
          <w:rFonts w:ascii="Times New Roman;Times;Serif" w:hAnsi="Times New Roman;Times;Serif"/>
          <w:b w:val="false"/>
          <w:i w:val="false"/>
          <w:caps w:val="false"/>
          <w:smallCaps w:val="false"/>
          <w:sz w:val="20"/>
        </w:rPr>
        <w:t>. The Agent shall have received the certificate required to be delivered pursuant to Section 7(l) on or before the date on which delivery of such certificate is required pursuant to Section 7(l).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 On or prior to the first Representation Date, the Agent shall have received a certificate, signed on behalf of the Company by its corporate Secretary, in form and substance reasonably satisfactory to the Agent and its counsel.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Suspension</w:t>
      </w:r>
      <w:r>
        <w:rPr>
          <w:rFonts w:ascii="Times New Roman;Times;Serif" w:hAnsi="Times New Roman;Times;Serif"/>
          <w:b w:val="false"/>
          <w:i w:val="false"/>
          <w:caps w:val="false"/>
          <w:smallCaps w:val="false"/>
          <w:sz w:val="20"/>
        </w:rPr>
        <w:t>. Trading in the Shares shall not have been suspended on the Exchange, and the Shares shall not have been delisted from the Exchange.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Other Materials</w:t>
      </w:r>
      <w:r>
        <w:rPr>
          <w:rFonts w:ascii="Times New Roman;Times;Serif" w:hAnsi="Times New Roman;Times;Serif"/>
          <w:b w:val="false"/>
          <w:i w:val="false"/>
          <w:caps w:val="false"/>
          <w:smallCaps w:val="false"/>
          <w:sz w:val="20"/>
        </w:rPr>
        <w:t>. On each date on which the Company is required to deliver a certificate pursuant to Section 7(l), the Company shall have furnished to the Agent such appropriate further information, certificates and documents as the Agent may reasonably request. All such opinions, certificates, letters and other documents will be in compliance with the provisions hereof. The Company will furnish the Agent with such conformed copies of such opinions, certificates, letters and other documents as the Agent shall reasonably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Securities Act Filings Made</w:t>
      </w:r>
      <w:r>
        <w:rPr>
          <w:rFonts w:ascii="Times New Roman;Times;Serif" w:hAnsi="Times New Roman;Times;Serif"/>
          <w:b w:val="false"/>
          <w:i w:val="false"/>
          <w:caps w:val="false"/>
          <w:smallCaps w:val="false"/>
          <w:sz w:val="20"/>
        </w:rPr>
        <w:t>. All filings with the Commission required by Rule 424 under the Securities Act with respect to the Placement Shares to have been filed prior to the issuance of any Placement Notice hereunder shall have been made within the applicable time period prescribed for such filing by Rule 424.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Approval for Listing</w:t>
      </w:r>
      <w:r>
        <w:rPr>
          <w:rFonts w:ascii="Times New Roman;Times;Serif" w:hAnsi="Times New Roman;Times;Serif"/>
          <w:b w:val="false"/>
          <w:i w:val="false"/>
          <w:caps w:val="false"/>
          <w:smallCaps w:val="false"/>
          <w:sz w:val="20"/>
        </w:rPr>
        <w:t>. The Placement Shares shall have been approved for listing on the Exchange.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FINRA shall have raised no objection to the terms of this offering and the amount of compensation allowable or payable to the Agent as described in the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No Termination Event</w:t>
      </w:r>
      <w:r>
        <w:rPr>
          <w:rFonts w:ascii="Times New Roman;Times;Serif" w:hAnsi="Times New Roman;Times;Serif"/>
          <w:b w:val="false"/>
          <w:i w:val="false"/>
          <w:caps w:val="false"/>
          <w:smallCaps w:val="false"/>
          <w:sz w:val="20"/>
        </w:rPr>
        <w:t>. There shall not have occurred any event that would permit the Agent to terminate this Agreement pursuant to Section 12(a).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Company Indemnification</w:t>
      </w:r>
      <w:r>
        <w:rPr>
          <w:rFonts w:ascii="Times New Roman;Times;Serif" w:hAnsi="Times New Roman;Times;Serif"/>
          <w:b w:val="false"/>
          <w:i w:val="false"/>
          <w:caps w:val="false"/>
          <w:smallCaps w:val="false"/>
          <w:sz w:val="20"/>
        </w:rPr>
        <w:t>. The Company agrees to indemnify and hold harmless the Agent and the Executing Broker and each of their respective partners, members, directors, officers, employees and agents, and each person, if any, who controls the Agent or the Executing Broker, within the meaning of Section 15 of the Securities Act or Section 20 of the Exchange Act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against any and all loss, liability, claim, damage and expense whatsoever, as incurred, joint or several,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contained in the Registration Statement (or any amendment thereto), any related Issuer Free Writing Prospectus or the Prospectus (or any amendment or supplement thereto); provided that (subject to Section 10(d) below) any such settlement is effected with the written consent of the Company, which consent shall not unreasonably be delayed or withheld;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jc w:val="center"/>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against any and all expense whatsoever, as incurred (including the reasonable and documented fees and disbursements of counsel), reasonably incurred in investigating, preparing or defending against any litigation, or any investigation or proceeding by any governmental agency or body, commenced or threatened, or any claim whatsoever based upon any such untrue statement or omission contained in the Registration Statement (or any amendment thereto) ), any related Issuer Free Writing Prospectus or the Prospectus (or any amendment or supplement thereto), or any such alleged untrue statement or omission, of the Company to the extent that any such expense is not paid under (i) or (ii)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this indemnity agreement shall not apply to any loss, liability, claim, damage or expense to the extent arising out of any untrue statement or omission or alleged untrue statement or omission made solely in reliance upon and in conformity with written information furnished to the Company by the Agent or its counsel expressly for use in the Registration Statement (or any amendment thereto), or in any related Issuer Free Writing Prospectus or the Prospectus (or any amendment or supplement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Agent Indemnification</w:t>
      </w:r>
      <w:r>
        <w:rPr>
          <w:rFonts w:ascii="Times New Roman;Times;Serif" w:hAnsi="Times New Roman;Times;Serif"/>
          <w:b w:val="false"/>
          <w:i w:val="false"/>
          <w:caps w:val="false"/>
          <w:smallCaps w:val="false"/>
          <w:sz w:val="20"/>
        </w:rPr>
        <w:t>. The Agent agrees to indemnify and hold harmless the Company and its directors and each officer of the Company who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10(a), as incurred, but only with respect to untrue statements or omissions, or alleged untrue statements or omissions, made in the Registration Statement (or any amendments thereto) or the Prospectus (or any amendment or supplement thereto) in reliance upon and in conformity with information relating to the Agent and furnished to the Company in writing by the Agent or its counsel expressly for use therein.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 Any party that proposes to assert the right to be indemnified under this Section 10 will, promptly after receipt of notice of commencement of any action against such party in respect of which a claim is to be made against an indemnifying party or parties under this Section 10, notify each such indemnifying party of the commencement of such action, enclosing a copy of all papers served, but the omission so to notify such indemnifying party will not relieve the indemnifying party from (i) any liability that it may have to any indemnified party otherwise than under this Section 10 and (ii) any liability that it may have to any indemnified party under the foregoing provision of this Section 10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and documented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by the indemnifying party promptly after the indemnifying party receives a written invoice related to fees, disbursements and other reasonable charges in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10 (whether or not any indemnified party is a party thereto), unless such settlement, compromise or consent (1) includes an unconditional release of each indemnified party from all liability arising out of such litigation, investigation, proceeding or claim and (2) does not include a statement as to or an admission of fault, culpability or a failure to act by or on behalf of any indemnified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In order to provide for just and equitable contribution in circumstances in which the indemnification provided for in the foregoing paragraphs of this Section 10 is applicable in accordance with its terms but for any reason is held to be unavailable from the Company or the Agent, the Company and the Agent will contribute to the total losses, claims, liabilities, expenses and damages (including any investigative, legal and other expenses reasonably incurred and documented in connection with, and any amount paid in settlement of, any action, suit or proceeding or any claim asserted, but after deducting any contribution received by the Company from persons other than the Agent, such as persons who control the Company within the meaning of the Securities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(before deducting expenses)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Section 10(d)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Section 10(d) shall be deemed to include, for the purpose of this Section 10(d), any legal or other expenses reasonably incurred by such indemnified party in connection with investigating or defending any such action or claim to the extent consistent with Section 10(c) hereof. Notwithstanding the foregoing provisions of this Section 10(d),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10(d), any person who controls a party to this Agreement within the meaning of the Securities Act, and any officers, directors, partners, employees or agents of the Agent,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10(d), will notify any such party or parties from whom contribution may be sought, but the omission to so notify will not relieve that party or parties from whom contribution may be sought from any other obligation it or they may have under this Section 10(d) except to the extent that the failure to so notify such other party materially prejudiced the substantive rights or defenses of the party from whom contribution is sought. Except for a settlement entered into pursuant to the last sentence of Section 10(c) hereof, no party will be liable for contribution with respect to any action or claim settled without its written consent if such consent is required pursuant to Section 10(c)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Additional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Covenants of the Agent</w:t>
      </w:r>
      <w:r>
        <w:rPr>
          <w:rFonts w:ascii="Times New Roman;Times;Serif" w:hAnsi="Times New Roman;Times;Serif"/>
          <w:b w:val="false"/>
          <w:i w:val="false"/>
          <w:caps w:val="false"/>
          <w:smallCaps w:val="false"/>
          <w:sz w:val="20"/>
        </w:rPr>
        <w:t>. The Agent represents and warrants that it is duly registered as a broker-dealer under FINRA, the Exchange Act and the applicable statutes and regulations of each state in which the Placement Shares will be offered and sold, except such states in which the Agent is exempt from registration or such registration is not otherwise required. The Agent shall continue, for the term of this Agreement, to be duly registered as a broker-dealer under FINRA, the Exchange Act and the applicable statutes and regulations of each state in which the Placement Shares will be offered and sold, except such states in which the Agent is exempt from registration or such registration is not otherwise required, during the term of this Agreement. The Agent shall comply with all applicable law and regulations in connection with the transactions contemplated by this Agreement, including the issuance and sale through the Agent of the Placement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Representations and Agreements to Survive Delivery</w:t>
      </w:r>
      <w:r>
        <w:rPr>
          <w:rFonts w:ascii="Times New Roman;Times;Serif" w:hAnsi="Times New Roman;Times;Serif"/>
          <w:b w:val="false"/>
          <w:i w:val="false"/>
          <w:caps w:val="false"/>
          <w:smallCaps w:val="false"/>
          <w:sz w:val="20"/>
        </w:rPr>
        <w:t>. The indemnity and contribution agreements contained in Section 10 of this Agreement and all representations and warranties of the Company herein or in certificates delivered pursuant hereto shall survive, (i) delivery and acceptance of the Placement Shares and payment therefor or (ii) any termination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Agent may terminate this Agreement, by written notice to the Company, as hereinafter specified at any time (1) if there has been, since the time of execution of this Agreement or since the date as of which information is given in the Prospectus, any Material Adverse Effect, or any development that would reasonably be expected to result in a Material Adverse Effect has occurred, which in the reasonable judgment of the Agent, is material and adverse and makes it impractical or inadvisable to market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Agent, impracticable or inadvisable to market the Placement Shares or to enforce contracts for the sale of the Placement Shares, (3) if trading in the Shares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 (6) if a banking moratorium has been declared by either U.S. Federal or New York State authorities. Any such termination shall be without liability of any party to any other party except that the provisions of Section 8 (Expenses), Section 10 (Indemnification), Section 11(b) (Survival of Representations), Section 17 (Governing Law; Waiver of Jury Trial) and Section 18 (Consent to Jurisdiction) hereof shall remain in full force and effect notwithstanding such termination. If the Agent elects to terminate this Agreement as provided in this Section 12(a), the Agent shall provide the required written notice as specified in Section 13 (Notices).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the right, by giving five (5) days written notice as hereinafter specified to terminate this Agreement in its sole discretion at any time after the date of this Agreement. Any such termination shall be without liability of any party to any other party except that the provisions of Section 8, Section 10, Section 11, Section 17 and Section 18 hereof shall remain in full force and effect notwithstanding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Agent shall have the right, by giving five (5) days written notice as hereinafter specified to terminate this Agreement in its sole discretion at any time after the date of this Agreement. Any such termination shall be without liability of any party to any other party except that the provisions of Section 8, Section 10, Section 11, Section 17 and Section 18 hereof shall remain in full force and effect notwithstanding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Unless earlier terminated pursuant to this Section 12, this Agreement shall automatically terminate upon the issuance and sale of all of the Placement Shares through the Agent on the terms and subject to the conditions set forth herein; provided that the provisions of Section 8, Section 10, Section 11, Section 17 and Section 18 hereof shall remain in full force and effect notwithstanding such termination.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This Agreement shall remain in full force and effect unless terminated pursuant to Sections 12(a), (b), (c), or (d) above or otherwise by mutual agreement of the parties; provided, however, that any such termination by mutual agreement shall in all cases be deemed to provide that Section 8, Section 10, Section 11, Section 17 and Section 18 shall remain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termination of this Agreement shall be effective on the date specified in such notice of termination; provided, however, that such termination shall not be effective until the close of business on the date of receipt of such notice by the Agent or the Company, as the case may be; provided, further, any termination of this Agreement in accordance with the terms of Section 12(b) or (c) shall not be effective until the date that is ten days after the date of such written notice. If such termination shall occur prior to the Settlement Date for any sale of Placement Shares, such Placement Shares shall settle in accordance with the provisions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Subject to the additional limitations set forth in Section 8 of this Agreement, in the event of termination of this Agreement prior to the sale of any Placement Shares, the Agent shall be entitled only to reimbursement of its out-of-pocket expenses actually incurred.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required or permitted to be given by any party to any other party pursuant to the terms of this Agreement shall be in writing, unless otherwise specified, and if sent to the Agent, shall be delivered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Craft Capital Management, LLC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 Oak Street, Suite 4, Garden City, NY 11530</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Mackey McFarlane</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banking@craftcm.com</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Sichenzia Ross Ference Carmel LLP</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 Avenue of the Americas, 26th floor</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10036</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Ross D. Carmel, Esq.</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rcarmel@srfc.law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to the Company, shall be delivered to:</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Golden Heaven Group Holdings Ltd.</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8 Banhouhaichuan Road, Xiqin Town Yanping District,</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Nanping, Fujian Province, China 353001</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Jingyu Lai</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group@jsyoule.com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Loeb &amp; Loeb LLP</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2206-19 Jardine House</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Connaught Place</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Central, Hong Kong SAR</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Henry Yin, Esq.</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Benjamin, Esq.</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henry.yin@loeb.com</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byao@loeb.com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(as defined below)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An electronic communication (“Electronic Notice”) shall be deemed written notice for purposes of this Section 13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(“Nonelectronic Notice”) which shall be sent to the requesting party within ten (10) days of receipt of the written request for Nonelectronic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inure to the benefit of and be binding upon the Company and the Agent and their respective successors and the affiliates, controlling persons, officers and directors referred to in Section 10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provided, however, that the Agent may assign its rights and obligations hereunder to an affiliate thereof without obtaining the Company’s consent, so long as such affiliate is a registered broker dealer.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Adjustments for Share Splits</w:t>
      </w:r>
      <w:r>
        <w:rPr>
          <w:rFonts w:ascii="Times New Roman;Times;Serif" w:hAnsi="Times New Roman;Times;Serif"/>
          <w:b w:val="false"/>
          <w:i w:val="false"/>
          <w:caps w:val="false"/>
          <w:smallCaps w:val="false"/>
          <w:sz w:val="20"/>
        </w:rPr>
        <w:t>. The parties acknowledge and agree that all share-related numbers contained in this Agreement shall be adjusted to take into account any share split, share dividend or similar event effected with respect to the Placement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Entire Agreement; Amendment; Severability</w:t>
      </w:r>
      <w:r>
        <w:rPr>
          <w:rFonts w:ascii="Times New Roman;Times;Serif" w:hAnsi="Times New Roman;Times;Serif"/>
          <w:b w:val="false"/>
          <w:i w:val="false"/>
          <w:caps w:val="false"/>
          <w:smallCaps w:val="false"/>
          <w:sz w:val="20"/>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17. </w:t>
      </w:r>
      <w:r>
        <w:rPr>
          <w:rFonts w:ascii="Times New Roman;Times;Serif" w:hAnsi="Times New Roman;Times;Serif"/>
          <w:b/>
          <w:i w:val="false"/>
          <w:caps w:val="false"/>
          <w:smallCaps w:val="false"/>
          <w:sz w:val="20"/>
          <w:u w:val="single"/>
        </w:rPr>
        <w:t>GOVERNING LAW AND TIME; WAIVER OF JURY TRIAL</w:t>
      </w:r>
      <w:r>
        <w:rPr>
          <w:rFonts w:ascii="Times New Roman;Times;Serif" w:hAnsi="Times New Roman;Times;Serif"/>
          <w:b/>
          <w:i w:val="false"/>
          <w:caps w:val="false"/>
          <w:smallCaps w:val="false"/>
          <w:sz w:val="20"/>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i w:val="false"/>
          <w:caps w:val="false"/>
          <w:smallCaps w:val="false"/>
          <w:sz w:val="20"/>
          <w:u w:val="single"/>
        </w:rPr>
        <w:t>CONSENT TO JURISDICTION</w:t>
      </w:r>
      <w:r>
        <w:rPr>
          <w:rFonts w:ascii="Times New Roman;Times;Serif" w:hAnsi="Times New Roman;Times;Serif"/>
          <w:b/>
          <w:i w:val="false"/>
          <w:caps w:val="false"/>
          <w:smallCaps w:val="false"/>
          <w:sz w:val="20"/>
        </w:rPr>
        <w:t>.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Use of Information</w:t>
      </w:r>
      <w:r>
        <w:rPr>
          <w:rFonts w:ascii="Times New Roman;Times;Serif" w:hAnsi="Times New Roman;Times;Serif"/>
          <w:b w:val="false"/>
          <w:i w:val="false"/>
          <w:caps w:val="false"/>
          <w:smallCaps w:val="false"/>
          <w:sz w:val="20"/>
        </w:rPr>
        <w:t>. The Agent may not use any information gained in connection with this Agreement and the transactions contemplated by this Agreement, including due diligence, to advise any party with respect to transactions not expressly approved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each of which shall be deemed an original, but all of which together shall constitute one and the same instrument. Delivery of an executed Agreement by one party to the other may be made by facsimile or other electronic transmission.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section and Exhibit headings herein are for convenience only and shall not affect the construction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Permitted Free Writing Prospectuses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represents, warrants and agrees that, unless it obtains the prior consent of the Agent (which consent shall not be unreasonably withheld or delayed), and the Agent represents, warrants and agrees that, unless it obtains the prior consent of the Company,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Absence of Fiduciary Relationship</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shareholders (or other equity holders), creditors or employees or any other party, on the one hand, and the Agent, on the other hand, has been or will be created in respect of any of the transactions contemplated by this Agreement, irrespective of whether or not the Agent has advised or is advising the Company on other matters, and the Agent has no obligation to the Company with respect to the transactions contemplated by this Agreement except the obligations expressly set forth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is capable of evaluating and understanding, and understands and accepts, the terms, risks and conditions of the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Agent has not provided any legal, accounting, regulatory or tax advice with respect to the transactions contemplated by this Agreement and it has consulted its own legal, accounting, regulatory and tax advisors to the extent it has deemed appropriate;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it is aware that the Agent and its affiliates are engaged in a broad range of transactions which may involve interests that differ from those of the Company and the Agent has no obligation to disclose such interests and transactions to the Company by virtue of any fiduciary, advisory or agency relationship or otherwise;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it waives, to the fullest extent permitted by law, any claims it may have against the Agent for breach of fiduciary duty or alleged breach of fiduciary duty in connection with the sale of Placement Shares under this Agreement and agrees that the Agent shall not have any liability (whether direct or indirect, in contract, tort or otherwise) to it in respect of such a fiduciary duty claim or to any person asserting a fiduciary duty claim on its behalf or in right of it or the Company, employees or creditors of Company, other than in respect of the Agent’s obligations under this Agreement and to keep information provided by the Company to the Agent and the Agent’s counsel confidential to the extent not otherwise publicly-available.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following terms have the respective meanings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Time</w:t>
      </w:r>
      <w:r>
        <w:rPr>
          <w:rFonts w:ascii="Times New Roman;Times;Serif" w:hAnsi="Times New Roman;Times;Serif"/>
          <w:b w:val="false"/>
          <w:i w:val="false"/>
          <w:caps w:val="false"/>
          <w:smallCaps w:val="false"/>
          <w:sz w:val="20"/>
        </w:rPr>
        <w:t>” means (i) each Representation Date, (ii) the time of each sale of any Placement Shares pursuant to this Agreement, and (iii) each Settlement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on which the commercial banks in the City of New York are required to be open for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means the Nasdaq Capital Market, or such other national securities exchange on which the Shares are listed for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 as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172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405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415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424(b)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430B</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Rule 433</w:t>
      </w:r>
      <w:r>
        <w:rPr>
          <w:rFonts w:ascii="Times New Roman;Times;Serif" w:hAnsi="Times New Roman;Times;Serif"/>
          <w:b w:val="false"/>
          <w:i w:val="false"/>
          <w:caps w:val="false"/>
          <w:smallCaps w:val="false"/>
          <w:sz w:val="20"/>
        </w:rPr>
        <w:t>” refer to such rules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that may be identified on Exhibit 8.1 to the Company’s Annual Report on Form 20-F for the most recently ended fiscal year, and shall, where applicable, also include any direct or indirect subsidiary of the Company formed or acquired after the date hereof which the Company is required to include in its consolidated financial statements in any annual or quarterly report filed with the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shares of Shares are purchased and sold on the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the understanding between the Company and the Agent, please so indicate in the space provided below for that purpose, whereupon this letter shall constitute a binding agreement between the Company and the Agent.</w:t>
      </w:r>
    </w:p>
    <w:p>
      <w:pPr>
        <w:pStyle w:val="TextBody"/>
        <w:bidi w:val="0"/>
        <w:spacing w:before="0" w:after="0"/>
        <w:ind w:left="2880" w:right="0" w:firstLine="72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574"/>
        <w:gridCol w:w="1073"/>
        <w:gridCol w:w="3456"/>
        <w:gridCol w:w="75"/>
      </w:tblGrid>
      <w:tr>
        <w:trPr/>
        <w:tc>
          <w:tcPr>
            <w:tcW w:w="5103" w:type="dxa"/>
            <w:gridSpan w:val="3"/>
            <w:tcBorders/>
            <w:vAlign w:val="center"/>
          </w:tcPr>
          <w:p>
            <w:pPr>
              <w:pStyle w:val="TableContents"/>
              <w:bidi w:val="0"/>
              <w:spacing w:before="0" w:after="283"/>
              <w:jc w:val="both"/>
              <w:rPr/>
            </w:pPr>
            <w:r>
              <w:rPr/>
              <w:t>Very truly yours,</w:t>
            </w:r>
          </w:p>
        </w:tc>
        <w:tc>
          <w:tcPr>
            <w:tcW w:w="75" w:type="dxa"/>
            <w:tcBorders/>
            <w:vAlign w:val="center"/>
          </w:tcPr>
          <w:p>
            <w:pPr>
              <w:pStyle w:val="TableContents"/>
              <w:bidi w:val="0"/>
              <w:spacing w:before="0" w:after="283"/>
              <w:jc w:val="both"/>
              <w:rPr/>
            </w:pPr>
            <w:r>
              <w:rPr/>
              <w:t> </w:t>
            </w:r>
          </w:p>
        </w:tc>
      </w:tr>
      <w:tr>
        <w:trPr/>
        <w:tc>
          <w:tcPr>
            <w:tcW w:w="5103" w:type="dxa"/>
            <w:gridSpan w:val="3"/>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5103" w:type="dxa"/>
            <w:gridSpan w:val="3"/>
            <w:tcBorders/>
            <w:vAlign w:val="center"/>
          </w:tcPr>
          <w:p>
            <w:pPr>
              <w:pStyle w:val="TableContents"/>
              <w:bidi w:val="0"/>
              <w:spacing w:before="0" w:after="283"/>
              <w:jc w:val="both"/>
              <w:rPr>
                <w:b/>
              </w:rPr>
            </w:pPr>
            <w:r>
              <w:rPr>
                <w:b/>
              </w:rPr>
              <w:t>GOLDEN HEAVEN GROUP HOLDINGS LTD.</w:t>
            </w:r>
          </w:p>
        </w:tc>
        <w:tc>
          <w:tcPr>
            <w:tcW w:w="75" w:type="dxa"/>
            <w:tcBorders/>
            <w:vAlign w:val="center"/>
          </w:tcPr>
          <w:p>
            <w:pPr>
              <w:pStyle w:val="TableContents"/>
              <w:bidi w:val="0"/>
              <w:spacing w:before="0" w:after="283"/>
              <w:jc w:val="both"/>
              <w:rPr/>
            </w:pPr>
            <w:r>
              <w:rPr/>
              <w:t> </w:t>
            </w:r>
          </w:p>
        </w:tc>
      </w:tr>
      <w:tr>
        <w:trPr/>
        <w:tc>
          <w:tcPr>
            <w:tcW w:w="5103" w:type="dxa"/>
            <w:gridSpan w:val="3"/>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pPr>
            <w:r>
              <w:rPr/>
              <w:t> </w:t>
            </w:r>
          </w:p>
        </w:tc>
      </w:tr>
      <w:tr>
        <w:trPr/>
        <w:tc>
          <w:tcPr>
            <w:tcW w:w="574" w:type="dxa"/>
            <w:tcBorders/>
            <w:vAlign w:val="center"/>
          </w:tcPr>
          <w:p>
            <w:pPr>
              <w:pStyle w:val="TableContents"/>
              <w:bidi w:val="0"/>
              <w:spacing w:before="0" w:after="283"/>
              <w:jc w:val="both"/>
              <w:rPr/>
            </w:pPr>
            <w:r>
              <w:rPr/>
              <w:t>By:</w:t>
            </w:r>
          </w:p>
        </w:tc>
        <w:tc>
          <w:tcPr>
            <w:tcW w:w="4529" w:type="dxa"/>
            <w:gridSpan w:val="2"/>
            <w:tcBorders>
              <w:bottom w:val="single" w:sz="12" w:space="0" w:color="000000"/>
            </w:tcBorders>
            <w:tcMar>
              <w:bottom w:w="28" w:type="dxa"/>
            </w:tcMar>
            <w:vAlign w:val="center"/>
          </w:tcPr>
          <w:p>
            <w:pPr>
              <w:pStyle w:val="TableContents"/>
              <w:bidi w:val="0"/>
              <w:spacing w:before="0" w:after="283"/>
              <w:jc w:val="both"/>
              <w:rPr/>
            </w:pPr>
            <w:r>
              <w:rPr/>
              <w:t>/s/ Jin Xu</w:t>
            </w:r>
          </w:p>
        </w:tc>
        <w:tc>
          <w:tcPr>
            <w:tcW w:w="75" w:type="dxa"/>
            <w:tcBorders/>
            <w:vAlign w:val="center"/>
          </w:tcPr>
          <w:p>
            <w:pPr>
              <w:pStyle w:val="TableContents"/>
              <w:bidi w:val="0"/>
              <w:spacing w:before="0" w:after="283"/>
              <w:jc w:val="both"/>
              <w:rPr/>
            </w:pPr>
            <w:r>
              <w:rPr/>
              <w:t> </w:t>
            </w:r>
          </w:p>
        </w:tc>
      </w:tr>
      <w:tr>
        <w:trPr/>
        <w:tc>
          <w:tcPr>
            <w:tcW w:w="574" w:type="dxa"/>
            <w:tcBorders/>
            <w:vAlign w:val="center"/>
          </w:tcPr>
          <w:p>
            <w:pPr>
              <w:pStyle w:val="TableContents"/>
              <w:bidi w:val="0"/>
              <w:spacing w:before="0" w:after="283"/>
              <w:jc w:val="both"/>
              <w:rPr/>
            </w:pPr>
            <w:r>
              <w:rPr/>
              <w:t> </w:t>
            </w:r>
          </w:p>
        </w:tc>
        <w:tc>
          <w:tcPr>
            <w:tcW w:w="1073" w:type="dxa"/>
            <w:tcBorders/>
            <w:vAlign w:val="center"/>
          </w:tcPr>
          <w:p>
            <w:pPr>
              <w:pStyle w:val="TableContents"/>
              <w:bidi w:val="0"/>
              <w:spacing w:before="0" w:after="283"/>
              <w:jc w:val="both"/>
              <w:rPr/>
            </w:pPr>
            <w:r>
              <w:rPr/>
              <w:t xml:space="preserve">Name: </w:t>
            </w:r>
          </w:p>
        </w:tc>
        <w:tc>
          <w:tcPr>
            <w:tcW w:w="3456" w:type="dxa"/>
            <w:tcBorders/>
            <w:vAlign w:val="center"/>
          </w:tcPr>
          <w:p>
            <w:pPr>
              <w:pStyle w:val="TableContents"/>
              <w:bidi w:val="0"/>
              <w:spacing w:before="0" w:after="283"/>
              <w:jc w:val="both"/>
              <w:rPr/>
            </w:pPr>
            <w:r>
              <w:rPr/>
              <w:t>Jin Xu</w:t>
            </w:r>
          </w:p>
        </w:tc>
        <w:tc>
          <w:tcPr>
            <w:tcW w:w="75" w:type="dxa"/>
            <w:tcBorders/>
            <w:vAlign w:val="center"/>
          </w:tcPr>
          <w:p>
            <w:pPr>
              <w:pStyle w:val="TableContents"/>
              <w:bidi w:val="0"/>
              <w:spacing w:before="0" w:after="283"/>
              <w:jc w:val="both"/>
              <w:rPr/>
            </w:pPr>
            <w:r>
              <w:rPr/>
              <w:t> </w:t>
            </w:r>
          </w:p>
        </w:tc>
      </w:tr>
      <w:tr>
        <w:trPr/>
        <w:tc>
          <w:tcPr>
            <w:tcW w:w="574" w:type="dxa"/>
            <w:tcBorders/>
            <w:vAlign w:val="center"/>
          </w:tcPr>
          <w:p>
            <w:pPr>
              <w:pStyle w:val="TableContents"/>
              <w:bidi w:val="0"/>
              <w:spacing w:before="0" w:after="283"/>
              <w:jc w:val="both"/>
              <w:rPr/>
            </w:pPr>
            <w:r>
              <w:rPr/>
              <w:t> </w:t>
            </w:r>
          </w:p>
        </w:tc>
        <w:tc>
          <w:tcPr>
            <w:tcW w:w="1073" w:type="dxa"/>
            <w:tcBorders/>
            <w:vAlign w:val="center"/>
          </w:tcPr>
          <w:p>
            <w:pPr>
              <w:pStyle w:val="TableContents"/>
              <w:bidi w:val="0"/>
              <w:spacing w:before="0" w:after="283"/>
              <w:jc w:val="both"/>
              <w:rPr/>
            </w:pPr>
            <w:r>
              <w:rPr/>
              <w:t>Title:</w:t>
            </w:r>
          </w:p>
        </w:tc>
        <w:tc>
          <w:tcPr>
            <w:tcW w:w="3456" w:type="dxa"/>
            <w:tcBorders/>
            <w:vAlign w:val="center"/>
          </w:tcPr>
          <w:p>
            <w:pPr>
              <w:pStyle w:val="TableContents"/>
              <w:bidi w:val="0"/>
              <w:spacing w:before="0" w:after="283"/>
              <w:jc w:val="both"/>
              <w:rPr/>
            </w:pPr>
            <w:r>
              <w:rPr/>
              <w:t>Chief Executive Officer</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4640" w:type="dxa"/>
        <w:jc w:val="left"/>
        <w:tblInd w:w="0" w:type="dxa"/>
        <w:tblLayout w:type="fixed"/>
        <w:tblCellMar>
          <w:top w:w="0" w:type="dxa"/>
          <w:left w:w="0" w:type="dxa"/>
          <w:bottom w:w="0" w:type="dxa"/>
          <w:right w:w="0" w:type="dxa"/>
        </w:tblCellMar>
      </w:tblPr>
      <w:tblGrid>
        <w:gridCol w:w="448"/>
        <w:gridCol w:w="838"/>
        <w:gridCol w:w="3247"/>
        <w:gridCol w:w="107"/>
      </w:tblGrid>
      <w:tr>
        <w:trPr/>
        <w:tc>
          <w:tcPr>
            <w:tcW w:w="4533"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as of the date first-above written:</w:t>
            </w:r>
          </w:p>
        </w:tc>
        <w:tc>
          <w:tcPr>
            <w:tcW w:w="107" w:type="dxa"/>
            <w:tcBorders/>
            <w:vAlign w:val="center"/>
          </w:tcPr>
          <w:p>
            <w:pPr>
              <w:pStyle w:val="TableContents"/>
              <w:bidi w:val="0"/>
              <w:spacing w:before="0" w:after="283"/>
              <w:jc w:val="both"/>
              <w:rPr/>
            </w:pPr>
            <w:r>
              <w:rPr/>
              <w:t> </w:t>
            </w:r>
          </w:p>
        </w:tc>
      </w:tr>
      <w:tr>
        <w:trPr/>
        <w:tc>
          <w:tcPr>
            <w:tcW w:w="4533" w:type="dxa"/>
            <w:gridSpan w:val="3"/>
            <w:tcBorders/>
            <w:vAlign w:val="center"/>
          </w:tcPr>
          <w:p>
            <w:pPr>
              <w:pStyle w:val="TableContents"/>
              <w:bidi w:val="0"/>
              <w:spacing w:before="0" w:after="283"/>
              <w:jc w:val="both"/>
              <w:rPr/>
            </w:pPr>
            <w:r>
              <w:rPr/>
              <w:t> </w:t>
            </w:r>
          </w:p>
        </w:tc>
        <w:tc>
          <w:tcPr>
            <w:tcW w:w="107" w:type="dxa"/>
            <w:tcBorders/>
            <w:vAlign w:val="center"/>
          </w:tcPr>
          <w:p>
            <w:pPr>
              <w:pStyle w:val="TableContents"/>
              <w:bidi w:val="0"/>
              <w:spacing w:before="0" w:after="283"/>
              <w:jc w:val="both"/>
              <w:rPr/>
            </w:pPr>
            <w:r>
              <w:rPr/>
              <w:t> </w:t>
            </w:r>
          </w:p>
        </w:tc>
      </w:tr>
      <w:tr>
        <w:trPr/>
        <w:tc>
          <w:tcPr>
            <w:tcW w:w="4533" w:type="dxa"/>
            <w:gridSpan w:val="3"/>
            <w:tcBorders/>
            <w:vAlign w:val="center"/>
          </w:tcPr>
          <w:p>
            <w:pPr>
              <w:pStyle w:val="TableContents"/>
              <w:bidi w:val="0"/>
              <w:spacing w:before="0" w:after="283"/>
              <w:jc w:val="both"/>
              <w:rPr>
                <w:b/>
              </w:rPr>
            </w:pPr>
            <w:r>
              <w:rPr>
                <w:b/>
              </w:rPr>
              <w:t>CRAFT CAPITAL MANAGEMENT LLC</w:t>
            </w:r>
          </w:p>
        </w:tc>
        <w:tc>
          <w:tcPr>
            <w:tcW w:w="107" w:type="dxa"/>
            <w:tcBorders/>
            <w:vAlign w:val="center"/>
          </w:tcPr>
          <w:p>
            <w:pPr>
              <w:pStyle w:val="TableContents"/>
              <w:bidi w:val="0"/>
              <w:spacing w:before="0" w:after="283"/>
              <w:jc w:val="both"/>
              <w:rPr/>
            </w:pPr>
            <w:r>
              <w:rPr/>
              <w:t> </w:t>
            </w:r>
          </w:p>
        </w:tc>
      </w:tr>
      <w:tr>
        <w:trPr/>
        <w:tc>
          <w:tcPr>
            <w:tcW w:w="4533" w:type="dxa"/>
            <w:gridSpan w:val="3"/>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07" w:type="dxa"/>
            <w:tcBorders/>
            <w:vAlign w:val="center"/>
          </w:tcPr>
          <w:p>
            <w:pPr>
              <w:pStyle w:val="TableContents"/>
              <w:bidi w:val="0"/>
              <w:spacing w:before="0" w:after="283"/>
              <w:ind w:left="0" w:right="0" w:firstLine="32"/>
              <w:jc w:val="both"/>
              <w:rPr/>
            </w:pPr>
            <w:r>
              <w:rPr/>
              <w:t> </w:t>
            </w:r>
          </w:p>
        </w:tc>
      </w:tr>
      <w:tr>
        <w:trPr/>
        <w:tc>
          <w:tcPr>
            <w:tcW w:w="448" w:type="dxa"/>
            <w:tcBorders/>
            <w:vAlign w:val="center"/>
          </w:tcPr>
          <w:p>
            <w:pPr>
              <w:pStyle w:val="TableContents"/>
              <w:bidi w:val="0"/>
              <w:spacing w:before="0" w:after="283"/>
              <w:jc w:val="both"/>
              <w:rPr/>
            </w:pPr>
            <w:r>
              <w:rPr/>
              <w:t>By:</w:t>
            </w:r>
          </w:p>
        </w:tc>
        <w:tc>
          <w:tcPr>
            <w:tcW w:w="4085" w:type="dxa"/>
            <w:gridSpan w:val="2"/>
            <w:tcBorders>
              <w:bottom w:val="single" w:sz="12" w:space="0" w:color="000000"/>
            </w:tcBorders>
            <w:tcMar>
              <w:bottom w:w="28" w:type="dxa"/>
            </w:tcMar>
            <w:vAlign w:val="center"/>
          </w:tcPr>
          <w:p>
            <w:pPr>
              <w:pStyle w:val="TableContents"/>
              <w:bidi w:val="0"/>
              <w:spacing w:before="0" w:after="283"/>
              <w:jc w:val="both"/>
              <w:rPr/>
            </w:pPr>
            <w:r>
              <w:rPr/>
              <w:t>/s/ Mackey McFarlane</w:t>
            </w:r>
          </w:p>
        </w:tc>
        <w:tc>
          <w:tcPr>
            <w:tcW w:w="107" w:type="dxa"/>
            <w:tcBorders/>
            <w:vAlign w:val="center"/>
          </w:tcPr>
          <w:p>
            <w:pPr>
              <w:pStyle w:val="TableContents"/>
              <w:bidi w:val="0"/>
              <w:spacing w:before="0" w:after="283"/>
              <w:jc w:val="both"/>
              <w:rPr/>
            </w:pPr>
            <w:r>
              <w:rPr/>
              <w:t> </w:t>
            </w:r>
          </w:p>
        </w:tc>
      </w:tr>
      <w:tr>
        <w:trPr/>
        <w:tc>
          <w:tcPr>
            <w:tcW w:w="448" w:type="dxa"/>
            <w:tcBorders/>
            <w:vAlign w:val="center"/>
          </w:tcPr>
          <w:p>
            <w:pPr>
              <w:pStyle w:val="TableContents"/>
              <w:bidi w:val="0"/>
              <w:spacing w:before="0" w:after="283"/>
              <w:jc w:val="both"/>
              <w:rPr/>
            </w:pPr>
            <w:r>
              <w:rPr/>
              <w:t> </w:t>
            </w:r>
          </w:p>
        </w:tc>
        <w:tc>
          <w:tcPr>
            <w:tcW w:w="838" w:type="dxa"/>
            <w:tcBorders/>
            <w:vAlign w:val="center"/>
          </w:tcPr>
          <w:p>
            <w:pPr>
              <w:pStyle w:val="TableContents"/>
              <w:bidi w:val="0"/>
              <w:spacing w:before="0" w:after="283"/>
              <w:jc w:val="both"/>
              <w:rPr/>
            </w:pPr>
            <w:r>
              <w:rPr/>
              <w:t xml:space="preserve">Name: </w:t>
            </w:r>
          </w:p>
        </w:tc>
        <w:tc>
          <w:tcPr>
            <w:tcW w:w="3247" w:type="dxa"/>
            <w:tcBorders/>
            <w:vAlign w:val="center"/>
          </w:tcPr>
          <w:p>
            <w:pPr>
              <w:pStyle w:val="TableContents"/>
              <w:bidi w:val="0"/>
              <w:spacing w:before="0" w:after="283"/>
              <w:jc w:val="both"/>
              <w:rPr/>
            </w:pPr>
            <w:r>
              <w:rPr/>
              <w:t>Mackey McFarlane</w:t>
            </w:r>
          </w:p>
        </w:tc>
        <w:tc>
          <w:tcPr>
            <w:tcW w:w="107" w:type="dxa"/>
            <w:tcBorders/>
            <w:vAlign w:val="center"/>
          </w:tcPr>
          <w:p>
            <w:pPr>
              <w:pStyle w:val="TableContents"/>
              <w:bidi w:val="0"/>
              <w:spacing w:before="0" w:after="283"/>
              <w:jc w:val="both"/>
              <w:rPr/>
            </w:pPr>
            <w:r>
              <w:rPr/>
              <w:t> </w:t>
            </w:r>
          </w:p>
        </w:tc>
      </w:tr>
      <w:tr>
        <w:trPr/>
        <w:tc>
          <w:tcPr>
            <w:tcW w:w="448" w:type="dxa"/>
            <w:tcBorders/>
            <w:vAlign w:val="center"/>
          </w:tcPr>
          <w:p>
            <w:pPr>
              <w:pStyle w:val="TableContents"/>
              <w:bidi w:val="0"/>
              <w:spacing w:before="0" w:after="283"/>
              <w:jc w:val="both"/>
              <w:rPr/>
            </w:pPr>
            <w:r>
              <w:rPr/>
              <w:t> </w:t>
            </w:r>
          </w:p>
        </w:tc>
        <w:tc>
          <w:tcPr>
            <w:tcW w:w="838" w:type="dxa"/>
            <w:tcBorders/>
            <w:vAlign w:val="center"/>
          </w:tcPr>
          <w:p>
            <w:pPr>
              <w:pStyle w:val="TableContents"/>
              <w:bidi w:val="0"/>
              <w:spacing w:before="0" w:after="283"/>
              <w:jc w:val="both"/>
              <w:rPr/>
            </w:pPr>
            <w:r>
              <w:rPr/>
              <w:t>Title:</w:t>
            </w:r>
          </w:p>
        </w:tc>
        <w:tc>
          <w:tcPr>
            <w:tcW w:w="3247" w:type="dxa"/>
            <w:tcBorders/>
            <w:vAlign w:val="center"/>
          </w:tcPr>
          <w:p>
            <w:pPr>
              <w:pStyle w:val="TableContents"/>
              <w:bidi w:val="0"/>
              <w:spacing w:before="0" w:after="283"/>
              <w:jc w:val="both"/>
              <w:rPr/>
            </w:pPr>
            <w:r>
              <w:rPr/>
              <w:t>Head of Investment Banking</w:t>
            </w:r>
          </w:p>
        </w:tc>
        <w:tc>
          <w:tcPr>
            <w:tcW w:w="107" w:type="dxa"/>
            <w:tcBorders/>
            <w:vAlign w:val="center"/>
          </w:tcPr>
          <w:p>
            <w:pPr>
              <w:pStyle w:val="TableContents"/>
              <w:bidi w:val="0"/>
              <w:spacing w:before="0" w:after="283"/>
              <w:jc w:val="both"/>
              <w:rPr/>
            </w:pPr>
            <w:r>
              <w:rPr/>
              <w:t> </w:t>
            </w:r>
          </w:p>
        </w:tc>
      </w:tr>
    </w:tbl>
    <w:p>
      <w:pPr>
        <w:pStyle w:val="TextBody"/>
        <w:bidi w:val="0"/>
        <w:spacing w:before="0" w:after="0"/>
        <w:ind w:left="317"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PLACEMENT NOTICE</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800"/>
        <w:gridCol w:w="4280"/>
      </w:tblGrid>
      <w:tr>
        <w:trPr/>
        <w:tc>
          <w:tcPr>
            <w:tcW w:w="800" w:type="dxa"/>
            <w:tcBorders/>
            <w:vAlign w:val="center"/>
          </w:tcPr>
          <w:p>
            <w:pPr>
              <w:pStyle w:val="TableContents"/>
              <w:bidi w:val="0"/>
              <w:spacing w:before="0" w:after="283"/>
              <w:jc w:val="both"/>
              <w:rPr/>
            </w:pPr>
            <w:r>
              <w:rPr/>
              <w:t>From:</w:t>
            </w:r>
          </w:p>
        </w:tc>
        <w:tc>
          <w:tcPr>
            <w:tcW w:w="4280" w:type="dxa"/>
            <w:tcBorders/>
            <w:vAlign w:val="center"/>
          </w:tcPr>
          <w:p>
            <w:pPr>
              <w:pStyle w:val="TableContents"/>
              <w:bidi w:val="0"/>
              <w:spacing w:before="0" w:after="283"/>
              <w:jc w:val="both"/>
              <w:rPr/>
            </w:pPr>
            <w:r>
              <w:rPr/>
              <w:t>Golden Heaven Group Holdings Ltd</w:t>
            </w:r>
          </w:p>
        </w:tc>
      </w:tr>
      <w:tr>
        <w:trPr/>
        <w:tc>
          <w:tcPr>
            <w:tcW w:w="800" w:type="dxa"/>
            <w:tcBorders/>
            <w:vAlign w:val="center"/>
          </w:tcPr>
          <w:p>
            <w:pPr>
              <w:pStyle w:val="TableContents"/>
              <w:bidi w:val="0"/>
              <w:spacing w:before="0" w:after="283"/>
              <w:jc w:val="both"/>
              <w:rPr/>
            </w:pPr>
            <w:r>
              <w:rPr/>
              <w:t> </w:t>
            </w:r>
          </w:p>
        </w:tc>
        <w:tc>
          <w:tcPr>
            <w:tcW w:w="4280" w:type="dxa"/>
            <w:tcBorders/>
            <w:vAlign w:val="center"/>
          </w:tcPr>
          <w:p>
            <w:pPr>
              <w:pStyle w:val="TableContents"/>
              <w:bidi w:val="0"/>
              <w:spacing w:before="0" w:after="283"/>
              <w:jc w:val="both"/>
              <w:rPr/>
            </w:pPr>
            <w:r>
              <w:rPr/>
              <w:t> </w:t>
            </w:r>
          </w:p>
        </w:tc>
      </w:tr>
      <w:tr>
        <w:trPr/>
        <w:tc>
          <w:tcPr>
            <w:tcW w:w="800" w:type="dxa"/>
            <w:tcBorders/>
            <w:vAlign w:val="center"/>
          </w:tcPr>
          <w:p>
            <w:pPr>
              <w:pStyle w:val="TableContents"/>
              <w:bidi w:val="0"/>
              <w:spacing w:before="0" w:after="283"/>
              <w:jc w:val="both"/>
              <w:rPr/>
            </w:pPr>
            <w:r>
              <w:rPr/>
              <w:t>To:</w:t>
            </w:r>
          </w:p>
        </w:tc>
        <w:tc>
          <w:tcPr>
            <w:tcW w:w="4280" w:type="dxa"/>
            <w:tcBorders/>
            <w:vAlign w:val="center"/>
          </w:tcPr>
          <w:p>
            <w:pPr>
              <w:pStyle w:val="TableContents"/>
              <w:bidi w:val="0"/>
              <w:spacing w:before="0" w:after="283"/>
              <w:jc w:val="left"/>
              <w:rPr/>
            </w:pPr>
            <w:r>
              <w:rPr/>
              <w:t>CRAFT CAPITAL MANAGEMENT LLC</w:t>
              <w:br/>
              <w:t>Attention: _____________________</w:t>
            </w:r>
          </w:p>
        </w:tc>
      </w:tr>
      <w:tr>
        <w:trPr/>
        <w:tc>
          <w:tcPr>
            <w:tcW w:w="800" w:type="dxa"/>
            <w:tcBorders/>
            <w:vAlign w:val="center"/>
          </w:tcPr>
          <w:p>
            <w:pPr>
              <w:pStyle w:val="TableContents"/>
              <w:bidi w:val="0"/>
              <w:spacing w:before="0" w:after="283"/>
              <w:jc w:val="both"/>
              <w:rPr/>
            </w:pPr>
            <w:r>
              <w:rPr/>
              <w:t> </w:t>
            </w:r>
          </w:p>
        </w:tc>
        <w:tc>
          <w:tcPr>
            <w:tcW w:w="4280" w:type="dxa"/>
            <w:tcBorders/>
            <w:vAlign w:val="center"/>
          </w:tcPr>
          <w:p>
            <w:pPr>
              <w:pStyle w:val="TableContents"/>
              <w:bidi w:val="0"/>
              <w:spacing w:before="0" w:after="283"/>
              <w:jc w:val="both"/>
              <w:rPr/>
            </w:pPr>
            <w:r>
              <w:rPr/>
              <w:t> </w:t>
            </w:r>
          </w:p>
        </w:tc>
      </w:tr>
      <w:tr>
        <w:trPr/>
        <w:tc>
          <w:tcPr>
            <w:tcW w:w="800" w:type="dxa"/>
            <w:tcBorders/>
            <w:vAlign w:val="center"/>
          </w:tcPr>
          <w:p>
            <w:pPr>
              <w:pStyle w:val="TableContents"/>
              <w:bidi w:val="0"/>
              <w:spacing w:before="0" w:after="283"/>
              <w:jc w:val="both"/>
              <w:rPr/>
            </w:pPr>
            <w:r>
              <w:rPr/>
              <w:t>Subject:</w:t>
            </w:r>
          </w:p>
        </w:tc>
        <w:tc>
          <w:tcPr>
            <w:tcW w:w="4280" w:type="dxa"/>
            <w:tcBorders/>
            <w:vAlign w:val="center"/>
          </w:tcPr>
          <w:p>
            <w:pPr>
              <w:pStyle w:val="TableContents"/>
              <w:bidi w:val="0"/>
              <w:spacing w:before="0" w:after="283"/>
              <w:jc w:val="both"/>
              <w:rPr/>
            </w:pPr>
            <w:r>
              <w:rPr/>
              <w:t>Placement Notice</w:t>
            </w:r>
          </w:p>
        </w:tc>
      </w:tr>
      <w:tr>
        <w:trPr/>
        <w:tc>
          <w:tcPr>
            <w:tcW w:w="800" w:type="dxa"/>
            <w:tcBorders/>
            <w:vAlign w:val="center"/>
          </w:tcPr>
          <w:p>
            <w:pPr>
              <w:pStyle w:val="TableContents"/>
              <w:bidi w:val="0"/>
              <w:spacing w:before="0" w:after="283"/>
              <w:jc w:val="both"/>
              <w:rPr/>
            </w:pPr>
            <w:r>
              <w:rPr/>
              <w:t> </w:t>
            </w:r>
          </w:p>
        </w:tc>
        <w:tc>
          <w:tcPr>
            <w:tcW w:w="4280" w:type="dxa"/>
            <w:tcBorders/>
            <w:vAlign w:val="center"/>
          </w:tcPr>
          <w:p>
            <w:pPr>
              <w:pStyle w:val="TableContents"/>
              <w:bidi w:val="0"/>
              <w:spacing w:before="0" w:after="283"/>
              <w:jc w:val="both"/>
              <w:rPr/>
            </w:pPr>
            <w:r>
              <w:rPr/>
              <w:t> </w:t>
            </w:r>
          </w:p>
        </w:tc>
      </w:tr>
      <w:tr>
        <w:trPr/>
        <w:tc>
          <w:tcPr>
            <w:tcW w:w="800" w:type="dxa"/>
            <w:tcBorders/>
            <w:vAlign w:val="center"/>
          </w:tcPr>
          <w:p>
            <w:pPr>
              <w:pStyle w:val="TableContents"/>
              <w:bidi w:val="0"/>
              <w:spacing w:before="0" w:after="283"/>
              <w:jc w:val="both"/>
              <w:rPr/>
            </w:pPr>
            <w:r>
              <w:rPr/>
              <w:t>Date:</w:t>
            </w:r>
          </w:p>
        </w:tc>
        <w:tc>
          <w:tcPr>
            <w:tcW w:w="4280"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and subject to the conditions contained in the Sales Agreement between Golden Heaven Group Holdings Ltd (the “Company”) and Craft Capital Management LLC (the “Agent”), dated [●], 2026, the Company hereby requests that the Agent sell up to ____________ of the Company’s Class A Ordinary Shares of par value of $0.00001 each, at a minimum market price of $</w:t>
      </w:r>
      <w:r>
        <w:rPr>
          <w:rFonts w:ascii="Times New Roman;Times;Serif" w:hAnsi="Times New Roman;Times;Serif"/>
          <w:b w:val="false"/>
          <w:i w:val="false"/>
          <w:caps w:val="false"/>
          <w:smallCaps w:val="false"/>
          <w:strike w:val="false"/>
          <w:dstrike w:val="false"/>
          <w:sz w:val="20"/>
          <w:u w:val="none"/>
          <w:effect w:val="none"/>
        </w:rPr>
        <w:t>_______</w:t>
      </w:r>
      <w:r>
        <w:rPr>
          <w:rFonts w:ascii="Times New Roman;Times;Serif" w:hAnsi="Times New Roman;Times;Serif"/>
          <w:b w:val="false"/>
          <w:i w:val="false"/>
          <w:caps w:val="false"/>
          <w:smallCaps w:val="false"/>
          <w:sz w:val="20"/>
        </w:rPr>
        <w:t xml:space="preserve"> per share, during the time period beginning [month, day, time] and ending [month, day,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acknowledged and agreed by the Company and the Agent that [  ] shall be engaged by the Agent for trading and clearing of the Class A Ordinary Shares that will be offered pursuant to this Placement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to the Agent and executive broker that shall be selected by the Company and the Agent from time to time in cash, upon each sale of Placement Shares pursuant to this Agreement, an aggregate amount equal to 5.0% of the gross proceeds from each sale of Placement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Parties</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Jingyu Lai at group@jsyoule.com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Craft Capital Management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Mackey McFarlane – mmcfarlane@craftcm.com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Kiront – skiront@craftcm.com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Henry Zhao – hzhao@craftcm.com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6(g)</w:t>
      </w:r>
    </w:p>
    <w:p>
      <w:pPr>
        <w:pStyle w:val="TextBody"/>
        <w:bidi w:val="0"/>
        <w:spacing w:before="0" w:after="0"/>
        <w:ind w:left="0" w:right="0" w:hanging="0"/>
        <w:jc w:val="center"/>
        <w:rPr>
          <w:caps w:val="false"/>
          <w:smallCaps w:val="false"/>
        </w:rPr>
      </w:pPr>
      <w:r>
        <w:rPr>
          <w:caps w:val="false"/>
          <w:smallCaps w:val="false"/>
        </w:rPr>
        <w:t> </w:t>
      </w:r>
    </w:p>
    <w:tbl>
      <w:tblPr>
        <w:tblW w:w="7885" w:type="dxa"/>
        <w:jc w:val="left"/>
        <w:tblInd w:w="0" w:type="dxa"/>
        <w:tblLayout w:type="fixed"/>
        <w:tblCellMar>
          <w:top w:w="0" w:type="dxa"/>
          <w:left w:w="0" w:type="dxa"/>
          <w:bottom w:w="28" w:type="dxa"/>
          <w:right w:w="0" w:type="dxa"/>
        </w:tblCellMar>
      </w:tblPr>
      <w:tblGrid>
        <w:gridCol w:w="5510"/>
        <w:gridCol w:w="60"/>
        <w:gridCol w:w="2315"/>
      </w:tblGrid>
      <w:tr>
        <w:trPr/>
        <w:tc>
          <w:tcPr>
            <w:tcW w:w="5510" w:type="dxa"/>
            <w:tcBorders>
              <w:bottom w:val="single" w:sz="12" w:space="0" w:color="000000"/>
            </w:tcBorders>
            <w:vAlign w:val="center"/>
          </w:tcPr>
          <w:p>
            <w:pPr>
              <w:pStyle w:val="TableContents"/>
              <w:bidi w:val="0"/>
              <w:spacing w:before="0" w:after="283"/>
              <w:jc w:val="left"/>
              <w:rPr>
                <w:b/>
              </w:rPr>
            </w:pPr>
            <w:r>
              <w:rPr>
                <w:b/>
              </w:rPr>
              <w:t>Subsidiaries</w:t>
            </w:r>
          </w:p>
        </w:tc>
        <w:tc>
          <w:tcPr>
            <w:tcW w:w="60" w:type="dxa"/>
            <w:tcBorders/>
            <w:tcMar>
              <w:bottom w:w="0" w:type="dxa"/>
            </w:tcMar>
            <w:vAlign w:val="center"/>
          </w:tcPr>
          <w:p>
            <w:pPr>
              <w:pStyle w:val="TableContents"/>
              <w:bidi w:val="0"/>
              <w:spacing w:before="0" w:after="283"/>
              <w:jc w:val="left"/>
              <w:rPr/>
            </w:pPr>
            <w:r>
              <w:rPr/>
              <w:t> </w:t>
            </w:r>
          </w:p>
        </w:tc>
        <w:tc>
          <w:tcPr>
            <w:tcW w:w="2315" w:type="dxa"/>
            <w:tcBorders>
              <w:bottom w:val="single" w:sz="12" w:space="0" w:color="000000"/>
            </w:tcBorders>
            <w:vAlign w:val="center"/>
          </w:tcPr>
          <w:p>
            <w:pPr>
              <w:pStyle w:val="TableContents"/>
              <w:bidi w:val="0"/>
              <w:spacing w:before="0" w:after="283"/>
              <w:jc w:val="left"/>
              <w:rPr>
                <w:b/>
              </w:rPr>
            </w:pPr>
            <w:r>
              <w:rPr>
                <w:b/>
              </w:rPr>
              <w:t>Place of Incorporation</w:t>
            </w:r>
          </w:p>
        </w:tc>
      </w:tr>
      <w:tr>
        <w:trPr/>
        <w:tc>
          <w:tcPr>
            <w:tcW w:w="5510" w:type="dxa"/>
            <w:tcBorders/>
            <w:tcMar>
              <w:bottom w:w="0" w:type="dxa"/>
            </w:tcMar>
            <w:vAlign w:val="center"/>
          </w:tcPr>
          <w:p>
            <w:pPr>
              <w:pStyle w:val="TableContents"/>
              <w:bidi w:val="0"/>
              <w:spacing w:before="0" w:after="283"/>
              <w:jc w:val="left"/>
              <w:rPr/>
            </w:pPr>
            <w:r>
              <w:rPr/>
              <w:t>Fuzhou Golden Carnival Culture Development Co., Ltd.</w:t>
            </w:r>
          </w:p>
        </w:tc>
        <w:tc>
          <w:tcPr>
            <w:tcW w:w="60" w:type="dxa"/>
            <w:tcBorders/>
            <w:tcMar>
              <w:bottom w:w="0" w:type="dxa"/>
            </w:tcMar>
            <w:vAlign w:val="center"/>
          </w:tcPr>
          <w:p>
            <w:pPr>
              <w:pStyle w:val="TableContents"/>
              <w:bidi w:val="0"/>
              <w:spacing w:before="0" w:after="283"/>
              <w:jc w:val="left"/>
              <w:rPr/>
            </w:pPr>
            <w:r>
              <w:rPr/>
              <w:t> </w:t>
            </w:r>
          </w:p>
        </w:tc>
        <w:tc>
          <w:tcPr>
            <w:tcW w:w="2315" w:type="dxa"/>
            <w:tcBorders/>
            <w:tcMar>
              <w:bottom w:w="0" w:type="dxa"/>
            </w:tcMar>
            <w:vAlign w:val="center"/>
          </w:tcPr>
          <w:p>
            <w:pPr>
              <w:pStyle w:val="TableContents"/>
              <w:bidi w:val="0"/>
              <w:spacing w:before="0" w:after="283"/>
              <w:jc w:val="left"/>
              <w:rPr/>
            </w:pPr>
            <w:r>
              <w:rPr/>
              <w:t>China</w:t>
            </w:r>
          </w:p>
        </w:tc>
      </w:tr>
      <w:tr>
        <w:trPr/>
        <w:tc>
          <w:tcPr>
            <w:tcW w:w="5510" w:type="dxa"/>
            <w:tcBorders/>
            <w:tcMar>
              <w:bottom w:w="0" w:type="dxa"/>
            </w:tcMar>
            <w:vAlign w:val="center"/>
          </w:tcPr>
          <w:p>
            <w:pPr>
              <w:pStyle w:val="TableContents"/>
              <w:bidi w:val="0"/>
              <w:spacing w:before="0" w:after="283"/>
              <w:jc w:val="left"/>
              <w:rPr/>
            </w:pPr>
            <w:r>
              <w:rPr/>
              <w:t>Nanping Golden Carnival Culture Development Co., Ltd.</w:t>
            </w:r>
          </w:p>
        </w:tc>
        <w:tc>
          <w:tcPr>
            <w:tcW w:w="60" w:type="dxa"/>
            <w:tcBorders/>
            <w:tcMar>
              <w:bottom w:w="0" w:type="dxa"/>
            </w:tcMar>
            <w:vAlign w:val="center"/>
          </w:tcPr>
          <w:p>
            <w:pPr>
              <w:pStyle w:val="TableContents"/>
              <w:bidi w:val="0"/>
              <w:spacing w:before="0" w:after="283"/>
              <w:jc w:val="left"/>
              <w:rPr/>
            </w:pPr>
            <w:r>
              <w:rPr/>
              <w:t> </w:t>
            </w:r>
          </w:p>
        </w:tc>
        <w:tc>
          <w:tcPr>
            <w:tcW w:w="2315" w:type="dxa"/>
            <w:tcBorders/>
            <w:tcMar>
              <w:bottom w:w="0" w:type="dxa"/>
            </w:tcMar>
            <w:vAlign w:val="center"/>
          </w:tcPr>
          <w:p>
            <w:pPr>
              <w:pStyle w:val="TableContents"/>
              <w:bidi w:val="0"/>
              <w:spacing w:before="0" w:after="283"/>
              <w:jc w:val="left"/>
              <w:rPr/>
            </w:pPr>
            <w:r>
              <w:rPr/>
              <w:t>China</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7(l)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Representation Date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 20__</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Representation Date Certificate (this “Certificate”) is executed and delivered in connection with Section 7(l) of the Sales Agreement (the “Agreement”), dated [●], 2026, and entered into between Golden Heaven Group Holdings Ltd. (the “Company”) and Craft Capital Management LLC. All capitalized terms used but not defined herein shall have the meanings given to such terms in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 duly appointed and authorized officer of the Company, having made all necessary inquiries to establish the accuracy of the statements below and having been authorized by the Company to execute this certificate, hereby certifies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As of the date of this Certificate, (i) the Registration Statement does not contain any untrue statement of a material fact or omit to state a material fact required to be stated therein or necessary in order to make the statements therein not misleading and (ii) neither the Registration Statement nor the Prospectus contain any untrue statement of a material fact or omit to state a material fact required to be stated therein or necessary in order to make the statements therein, in light of the circumstances under which they were made, not misleading and (iii) no event has occurred as a result of which it is necessary to amend or supplement the Prospectus in order to make the statements therein not untrue or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Each of the representations and warranties of the Company contained in the Agreement (</w:t>
      </w:r>
      <w:r>
        <w:rPr>
          <w:rFonts w:ascii="Times New Roman;Times;Serif" w:hAnsi="Times New Roman;Times;Serif"/>
          <w:b w:val="false"/>
          <w:i w:val="false"/>
          <w:caps w:val="false"/>
          <w:smallCaps w:val="false"/>
          <w:sz w:val="20"/>
          <w:shd w:fill="FFFFFF" w:val="clear"/>
        </w:rPr>
        <w:t>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so true and correct as of such date; and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Each of the covenants required to be performed by the Company in the Agreement on or prior to the date of the Agreement, this Representation Date, and each such other date as set forth in the Agreement, has been duly, timely and fully performed in all material respects and each condition required to be complied with by the Company on or prior to the date of the Agreement, this Representation Date, and each such other date as set forth in the Agreement has been duly, timely and fully complied with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Subsequent to the date of the most recent financial statements in the Prospectus, there has been no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No stop order suspending the effectiveness of the Registration Statement or of any part thereof has been issued, and no proceedings for that purpose have been instituted or are pending or threatened by any securities or other governmental authority (including, without limitation, the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No order suspending the effectiveness of the Registration Statement or the qualification or registration of the Placement Shares under the applicable securities or blue sky laws of any applicable jurisdiction are in effect and no proceeding for such purpose is pending before, or threatened, to the Company’s knowledge or in writing by, any applicable securities or other governmental authority (including, without limitation, the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has executed this Representation Date Certificate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800" w:type="dxa"/>
        <w:jc w:val="left"/>
        <w:tblInd w:w="0" w:type="dxa"/>
        <w:tblLayout w:type="fixed"/>
        <w:tblCellMar>
          <w:top w:w="0" w:type="dxa"/>
          <w:left w:w="0" w:type="dxa"/>
          <w:bottom w:w="0" w:type="dxa"/>
          <w:right w:w="0" w:type="dxa"/>
        </w:tblCellMar>
      </w:tblPr>
      <w:tblGrid>
        <w:gridCol w:w="665"/>
        <w:gridCol w:w="60"/>
        <w:gridCol w:w="75"/>
      </w:tblGrid>
      <w:tr>
        <w:trPr/>
        <w:tc>
          <w:tcPr>
            <w:tcW w:w="725" w:type="dxa"/>
            <w:gridSpan w:val="2"/>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r>
      <w:tr>
        <w:trPr/>
        <w:tc>
          <w:tcPr>
            <w:tcW w:w="7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28340/000121390024043612/ea0205599-s8_golden.htm" TargetMode="External"/><Relationship Id="rId3" Type="http://schemas.openxmlformats.org/officeDocument/2006/relationships/hyperlink" Target="https://www.sec.gov/Archives/edgar/data/1928340/000121390024049756/ea0207066-f3_golden.htm" TargetMode="External"/><Relationship Id="rId4" Type="http://schemas.openxmlformats.org/officeDocument/2006/relationships/hyperlink" Target="https://www.sec.gov/Archives/edgar/data/1928340/000121390024107407/ea0224225-s8_golden.htm" TargetMode="External"/><Relationship Id="rId5" Type="http://schemas.openxmlformats.org/officeDocument/2006/relationships/hyperlink" Target="https://www.sec.gov/Archives/edgar/data/1928340/000121390025126078/ea0270541-f3_golden.htm" TargetMode="External"/><Relationship Id="rId6" Type="http://schemas.openxmlformats.org/officeDocument/2006/relationships/hyperlink" Target="http://www.sec.gov/Archives/edgar/data/1928340/000121390026047788/ea0287776-f3_golden.htm" TargetMode="Externa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26174</Words>
  <Characters>136451</Characters>
  <CharactersWithSpaces>162636</CharactersWithSpaces>
  <Paragraphs>1012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