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001-41675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GOLDEN HEAVEN GROUP HOLDINGS LTD.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8 Banhouhaichuan Rd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Xiqin Town, Yanping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Nanping City, Fujian Province, China 353001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2026, Nanping Golden Carnival Culture Development Co., Ltd. (“Nanping Golden Carnival”), a wholly owned subsidiary of Golden Heaven Group Holdings Ltd. (the “Company”), entered into an amusement equipment rental agreement (the “Agreement”) with Fuzhou Yibang Amusement Park Co., Ltd. (“Fuzhou Yibang”), an independent third-party operator. Pursuant to the Agreement, Nanping Golden Carnival agreed to lease to Fuzhou Yibang certain amusement equipment relating to the Fengshui Lake, Shili Huaxi and Xiapu amusement projects.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 provides for a lease term from January 1, 2026 through October 31, 2036. Nanping Golden Carnival is required to deliver the equipment by November 1, 2026. The aggregate annual rent is RMB110.4 million, comprising RMB44.0 million for the equipment of Fengshui Lake amusement project, RMB40.0 million for the equipment of Shili Huaxi amusement project and RMB26.4 million for the equipment of Xiapu amusement project. Rent is payable monthly within the first ten working days of each month and will increase by 2% annually beginning in the second year of the lease term.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Fuzhou Yibang is responsible for providing the premises, utilities, infrastructure, permits and operating qualifications required for the installation and operation of the equipment. It is also responsible for transportation, installation, commissioning, dismantling, daily maintenance and operational safety, and must maintain public liability insurance for the operation of the equipment. Nanping Golden Carnival is responsible for statutory annual inspections and for replacing equipment that requires replacement as a result of ordinary wear or the expiration of its service life.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Agreement does not purport to be complete and is qualified in its entirety by reference to the full text of the Agreement, an English translation of which is attached as Exhibit 10.1 to this Form 6-K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contents of this Form 6-K are hereby incorporated by reference into (i) the Company’s registration statement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333-279423) filed with the U.S. Securities and Exchange Commission (the “SEC”) on May 15, 2024, (ii) the Company’s registration statement on </w:t>
      </w:r>
      <w:hyperlink r:id="rId14">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w:t>
      </w:r>
      <w:hyperlink r:id="rId15">
        <w:r>
          <w:rPr>
            <w:rFonts w:ascii="Times New Roman" w:cs="Times New Roman" w:eastAsia="Times New Roman" w:hAnsi="Times New Roman"/>
            <w:sz w:val="18"/>
            <w:szCs w:val="18"/>
            <w:color w:val="auto"/>
          </w:rPr>
          <w:t xml:space="preserve">279942) filed with the SEC on June 4, 2024 and declared effective by the SEC on June 27, 2024, (iii) the Company’s registration statement on </w:t>
        </w:r>
        <w:r>
          <w:rPr>
            <w:rFonts w:ascii="Times New Roman" w:cs="Times New Roman" w:eastAsia="Times New Roman" w:hAnsi="Times New Roman"/>
            <w:sz w:val="18"/>
            <w:szCs w:val="18"/>
            <w:u w:val="single" w:color="auto"/>
            <w:color w:val="0000EE"/>
          </w:rPr>
          <w:t>Form S-</w:t>
        </w:r>
      </w:hyperlink>
      <w:hyperlink r:id="rId15">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333-283714) filed with the SEC on December 10, 2024, (iv) the Company’s registration statement on</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 xml:space="preserve">Form F-3 </w:t>
        </w:r>
      </w:hyperlink>
      <w:hyperlink r:id="rId15">
        <w:r>
          <w:rPr>
            <w:rFonts w:ascii="Times New Roman" w:cs="Times New Roman" w:eastAsia="Times New Roman" w:hAnsi="Times New Roman"/>
            <w:sz w:val="18"/>
            <w:szCs w:val="18"/>
            <w:color w:val="000000"/>
          </w:rPr>
          <w:t>(File No. 333-292462) filed</w:t>
        </w:r>
      </w:hyperlink>
      <w:r>
        <w:rPr>
          <w:rFonts w:ascii="Times New Roman" w:cs="Times New Roman" w:eastAsia="Times New Roman" w:hAnsi="Times New Roman"/>
          <w:sz w:val="18"/>
          <w:szCs w:val="18"/>
          <w:color w:val="0000EE"/>
        </w:rPr>
        <w:t xml:space="preserve"> </w:t>
      </w:r>
      <w:hyperlink r:id="rId17">
        <w:r>
          <w:rPr>
            <w:rFonts w:ascii="Times New Roman" w:cs="Times New Roman" w:eastAsia="Times New Roman" w:hAnsi="Times New Roman"/>
            <w:sz w:val="18"/>
            <w:szCs w:val="18"/>
            <w:color w:val="000000"/>
          </w:rPr>
          <w:t xml:space="preserve">with the SEC on December 29, 2025 and declared effective by the SEC on February 6, 2026, and (v) the Company’s registration statement on </w:t>
        </w:r>
        <w:r>
          <w:rPr>
            <w:rFonts w:ascii="Times New Roman" w:cs="Times New Roman" w:eastAsia="Times New Roman" w:hAnsi="Times New Roman"/>
            <w:sz w:val="18"/>
            <w:szCs w:val="18"/>
            <w:u w:val="single" w:color="auto"/>
            <w:color w:val="0000EE"/>
          </w:rPr>
          <w:t>Form F-</w:t>
        </w:r>
      </w:hyperlink>
      <w:hyperlink r:id="rId17">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333-295337) initially filed with the SEC on April 27, 2026 and declared effective by the SEC on May 22, 2026.</w:t>
        </w:r>
      </w:hyperlink>
    </w:p>
    <w:p>
      <w:pPr>
        <w:spacing w:after="0" w:line="200" w:lineRule="exact"/>
        <w:rPr>
          <w:rFonts w:ascii="Times New Roman" w:cs="Times New Roman" w:eastAsia="Times New Roman" w:hAnsi="Times New Roman"/>
          <w:sz w:val="18"/>
          <w:szCs w:val="18"/>
          <w:color w:val="0000EE"/>
        </w:rPr>
      </w:pPr>
    </w:p>
    <w:p>
      <w:pPr>
        <w:spacing w:after="0" w:line="203"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English translation of Amusement Equipment Rental Agreement, dated October 27, 2026, by and between Nanping Golden Carnival Culture Development Co., Ltd. and Fuzhou Yibang Amusement Park Co., Ltd.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Golden Heaven Group Holding Ltd.</w:t>
            </w:r>
          </w:p>
        </w:tc>
      </w:tr>
      <w:tr>
        <w:trPr>
          <w:trHeight w:val="4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368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Jin Xu</w:t>
            </w:r>
          </w:p>
        </w:tc>
      </w:tr>
      <w:tr>
        <w:trPr>
          <w:trHeight w:val="198"/>
        </w:trPr>
        <w:tc>
          <w:tcPr>
            <w:tcW w:w="3640" w:type="dxa"/>
            <w:vAlign w:val="bottom"/>
          </w:tcPr>
          <w:p>
            <w:pPr>
              <w:spacing w:after="0"/>
              <w:rPr>
                <w:sz w:val="17"/>
                <w:szCs w:val="17"/>
                <w:color w:val="auto"/>
              </w:rPr>
            </w:pPr>
          </w:p>
        </w:tc>
        <w:tc>
          <w:tcPr>
            <w:tcW w:w="3680" w:type="dxa"/>
            <w:vAlign w:val="bottom"/>
          </w:tcPr>
          <w:p>
            <w:pPr>
              <w:ind w:left="3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Jin Xu</w:t>
            </w:r>
          </w:p>
        </w:tc>
      </w:tr>
      <w:tr>
        <w:trPr>
          <w:trHeight w:val="216"/>
        </w:trPr>
        <w:tc>
          <w:tcPr>
            <w:tcW w:w="3640" w:type="dxa"/>
            <w:vAlign w:val="bottom"/>
          </w:tcPr>
          <w:p>
            <w:pPr>
              <w:spacing w:after="0"/>
              <w:rPr>
                <w:sz w:val="18"/>
                <w:szCs w:val="18"/>
                <w:color w:val="auto"/>
              </w:rPr>
            </w:pPr>
          </w:p>
        </w:tc>
        <w:tc>
          <w:tcPr>
            <w:tcW w:w="368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 Director</w:t>
            </w:r>
          </w:p>
        </w:tc>
      </w:tr>
      <w:tr>
        <w:trPr>
          <w:trHeight w:val="655"/>
        </w:trPr>
        <w:tc>
          <w:tcPr>
            <w:tcW w:w="36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Amusement Equipment Rental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(Lessor): Nanping Golden Carnival Cultural Development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(Lessee): Fuzhou Yibang Amusement Park Co., Ltd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view of Party A’s lawful ownership or legal disposal rights of the amusement equipment listed in Annexes I, II, and III of this agreement, and Party B intends to lease such equipment for business purposes, both parties, on the basis of equality, voluntariness, fairness, and good faith, and in accordance with the Civil Code of the People’s Republic of China and relevant laws and regulations, have reached the following agreement:</w:t>
      </w:r>
    </w:p>
    <w:p>
      <w:pPr>
        <w:spacing w:after="0" w:line="176"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scope of rental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agrees to lease the amusement equipment listed in Attachments 1, 2, and 3 of the “Rental Equipment List” (hereinafter referred to as “Rental Equipment”) to Party B for use. The specific name, model, number, and quantity of the rental equipment shall be as specified in Attachments 1, 2, and 3. Attachments 1, 2, and 3 are integral parts of this agreement</w:t>
      </w:r>
    </w:p>
    <w:p>
      <w:pPr>
        <w:spacing w:after="0" w:line="202"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only leases equipment and does not include amusement park venues, houses, buildings, land use rights, parking lots, supporting facilities, amusement park operation rights, or other property rights. Party B shall provide all necessary premises, houses, water and electricity, infrastructure, administrative approvals, and business qualifications required by Party B and be responsible for legal compliance.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promises to use the rental equipment only for lawful amusement business activities, shall not change the use of the equipment without authorization, nor sublease, lend, mortgage, pledge, sell, dismantle, alter, or entrust the rental equipment to third parties.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ensure that the location is legal, safe, and suitable for equipment installation and operation.</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Term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from January 1, 2026, to October 31, 2036, totaling 10 years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expiration of the lease term or termination of this agreement, Party B shall return the leased equipment to Party A according to Attachment 1 and the Equipment Delivery Acceptance Form, except for normal wear and tear. Party B shall not retain the leased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Delivery and Acceptance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deliver the leased equipment to Party B by November 1, 2026</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conduct acceptance within 10 days after receiving the equipment. If there is a shortage in quantity, model mismatch, or obvious quality issues, Party A shall be notified in writing; If no objection is raised within the time limit, acceptance shall be deemed passed, except for hidden defects in the equipment and statutory inspection responsibilities that Party A should bear</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equipment transportation, installation, commissioning, dismantling, and basic fabrication shall be borne by Party B; If there are other written agreements between the parties, those shall prevail</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and payment methods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standard is Attachment 1 44 million yuan, Attachment 2 40 million yuan, and Annex 3 26.4 million yuan, totaling 110.4 million yuan per year (in words: 111.4 million yuan), paid monthly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pay the rent to the account designated by Party A within the first ten working days of each month.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from the second year, rent increases at an annual rate of 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delays payment of rent, a late fee of 0.05% of the overdue amount shall be paid to Party A for each day overdue.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A’s Receiving 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Name: Nanping Golden Carnival Cultural Development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1406041609600191486</w:t>
      </w:r>
    </w:p>
    <w:p>
      <w:pPr>
        <w:spacing w:after="0" w:line="20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use, maintenance, and safety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responsible for the daily cleaning, inspection, storage, and operational safety management of the leased equipment. Party B shall ensure that the equipment is in good working condition and meets safety operation standards.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assign qualified operators and establish comprehensive safety management systems and emergency plans, including but not limited to fire, equipment failure, sudden illness among tourists, etc., to ensure visitor safety.</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regularly inspect the leased equipment and promptly identify and address safety hazards; If major faults or safety hazards are found, Party B shall immediately stop using them and notify Party A.</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not dismantle, modify, or repair the leased equipment or replace major components without authorization. If equipment damage is caused by Party B’s unauthorized dismantling or modification, Party B shall bear the responsibility for repair or compensation.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purchase public liability insurance for the operation of the leased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replacement and annual inspection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leased equipment needs to be replaced due to natural wear or end of service life, Party A shall be responsible for replacement, and the related costs shall be borne by Party A; If replacement is required due to Party B’s reasons, Party B shall bear the costs.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notify Party A in advance of specific equipment inspection or replacement needs and cooperate with Party A to complete related work.</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annual inspection of the leased equipment shall be handled by Party A, and Party B shall provide necessary assistance. If the annual inspection is delayed due to Party B’s failure to provide necessary assistance, Party B shall bear the corresponding responsibility.</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equipment damage and loss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leased equipment is damaged or lost due to human factors caused by Party B, its customers, or Party B’s staff, Party B shall bear the responsibility for repair or compensation.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damage caused by force majeure or natural causes, both parties should negotiate and resolve the issue based on the actual situation, and if necessary, a third-party organization may be engaged for assessment.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equipment is delivered to Party B, Party B shall fulfill its obligation to properly safeguard it; If the equipment is damaged or lost due to Party B’s poor storage, Party B shall bear the compensation responsibility. Damage caused by the equipment’s own quality defects shall be borne by Party A.</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Breach of Contract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violates the terms of this agreement, they shall pay a penalty of 10% of the annual rent, and this does not affect the non-breaching party’s right to request the breaching party to continue performing the agreement or terminate this agreement.</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breach causes losses to the other party, the breaching party shall also compensate the other party for the direct losses suffered, including but not limited to reasonable costs such as attorney fees and litigation costs.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Resolution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arising during the execution of this agreement shall first be resolved through friendly consultation; If negotiation fails, either party may file a lawsuit with the people’s court having jurisdiction at Party A’s location.</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matters not covered in this agreement, both parties may sign a supplementary agreement, which shall have the same legal effect as this agreement.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made in two copies, with Party A and Party B each holding one copy, both having equal legal effect.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take effect from the date of sealing by both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(Seal): Nanping Golden Carnival Cultural Development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(Seal): Fuzhou Yibang Amusement Park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Schedule 1</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Schedule 2</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Schedule 3</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decimal"/>
      <w:start w:val="1"/>
    </w:lvl>
  </w:abstractNum>
  <w:abstractNum w:abstractNumId="1">
    <w:nsid w:val="19495CFF"/>
    <w:multiLevelType w:val="hybridMultilevel"/>
    <w:lvl w:ilvl="0">
      <w:lvlJc w:val="left"/>
      <w:lvlText w:val="%1."/>
      <w:numFmt w:val="decimal"/>
      <w:start w:val="3"/>
    </w:lvl>
    <w:lvl w:ilvl="1">
      <w:lvlJc w:val="left"/>
      <w:lvlText w:val="%2."/>
      <w:numFmt w:val="decimal"/>
      <w:start w:val="1"/>
    </w:lvl>
  </w:abstractNum>
  <w:abstractNum w:abstractNumId="2">
    <w:nsid w:val="2AE8944A"/>
    <w:multiLevelType w:val="hybridMultilevel"/>
    <w:lvl w:ilvl="0">
      <w:lvlJc w:val="left"/>
      <w:lvlText w:val="%1."/>
      <w:numFmt w:val="decimal"/>
      <w:start w:val="5"/>
    </w:lvl>
    <w:lvl w:ilvl="1">
      <w:lvlJc w:val="left"/>
      <w:lvlText w:val="%2."/>
      <w:numFmt w:val="decimal"/>
      <w:start w:val="1"/>
    </w:lvl>
  </w:abstractNum>
  <w:abstractNum w:abstractNumId="3">
    <w:nsid w:val="625558EC"/>
    <w:multiLevelType w:val="hybridMultilevel"/>
    <w:lvl w:ilvl="0">
      <w:lvlJc w:val="left"/>
      <w:lvlText w:val="%1."/>
      <w:numFmt w:val="decimal"/>
      <w:start w:val="6"/>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13" Type="http://schemas.openxmlformats.org/officeDocument/2006/relationships/hyperlink" Target="https://www.sec.gov/Archives/edgar/data/1928340/000121390024043612/ea0205599-s8_golden.htm" TargetMode="External"/><Relationship Id="rId14" Type="http://schemas.openxmlformats.org/officeDocument/2006/relationships/hyperlink" Target="https://www.sec.gov/Archives/edgar/data/1928340/000121390024049756/ea0207066-f3_golden.htm" TargetMode="External"/><Relationship Id="rId15" Type="http://schemas.openxmlformats.org/officeDocument/2006/relationships/hyperlink" Target="https://www.sec.gov/Archives/edgar/data/1928340/000121390024107407/ea0224225-s8_golden.htm" TargetMode="External"/><Relationship Id="rId16" Type="http://schemas.openxmlformats.org/officeDocument/2006/relationships/hyperlink" Target="https://www.sec.gov/Archives/edgar/data/1928340/000121390025126078/ea0270541-f3_golden.htm" TargetMode="External"/><Relationship Id="rId17" Type="http://schemas.openxmlformats.org/officeDocument/2006/relationships/hyperlink" Target="http://www.sec.gov/Archives/edgar/data/1928340/000121390026047788/ea0287776-f3_gold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2026-10-29T16:07:14Z</dcterms:created>
  <dcterms:modified xsi:type="dcterms:W3CDTF">2026-10-29T16:07:14Z</dcterms:modified>
</cp:coreProperties>
</file>