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6686-6k_golden.htm"/>
      <w:bookmarkStart w:id="1" w:name="ksea03066866k_golde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001-41675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 Banhouhaichuan Rd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Xiqin Town, Yanping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Nanping City, Fujian Province, China 353001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Nanping Golden Carnival Culture Development Co., Ltd., a wholly owned subsidiary of Golden Heaven Group Holdings Ltd. (the “Company”), entered into asset acquisition agreements with Guangxi Senguang Entertainment Investment Co., Ltd. to acquire assets, including fixed assets, intangible assets and rights under project-related business contracts, relating to Yixing Qinglongshan Happy World, Nanning Caribbean Water World, and Lishui Xingzhuang Park Children’s Amusement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is RMB139,945,792.52, comprising RMB26,228,437.60 for Yixing Qinglongshan Happy World, RMB84,335,781.72 for Nanning Caribbean Water World, and RMB29,381,573.20 for Lishui Xingzhuang Park Children’s Amusement Park,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each asset acquisition agreement, 50% of the purchase price is payable within five business days after execution, and the remaining 50% is payable within five business days after completion of the applicable asset delivery and ownership-transfer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asset acquisition agreements does not purport to be complete and is qualified in its entirety by reference to the full text of the asset acquisition agreements, English translation of which are attached as Exhibits 10.1, 10.2 and 10.2 to this Form 6-K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contents of this Form 6-K are hereby incorporated by reference into (i) the Company’s registration statement on </w:t>
      </w:r>
      <w:hyperlink r:id="rId2">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333-279423) filed with the U.S. Securities and Exchange Commission (the “SEC”) on May 15, 2024, (ii) the Company’s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333-279942) filed with the SEC on June 4, 2024 and declared effective by the SEC on June 27, 2024, (iii) the Company’s registration statement on </w:t>
      </w:r>
      <w:hyperlink r:id="rId4">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(File No. 333-283714) filed with the SEC on December 10, 2024, (iv) the Company’s registration statement on </w:t>
      </w:r>
      <w:hyperlink r:id="rId5">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333-292462) filed with the SEC on December 29, 2025 and declared effective by the SEC on February 6, 2026, and (v) the Company’s registration statement on </w:t>
      </w:r>
      <w:hyperlink r:id="rId6">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(File No. 333-295337) initially filed with the SEC on April 27, 2026 and declared effective by the SEC on May 22,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90"/>
        <w:gridCol w:w="60"/>
        <w:gridCol w:w="9355"/>
      </w:tblGrid>
      <w:tr>
        <w:trPr/>
        <w:tc>
          <w:tcPr>
            <w:tcW w:w="790"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5" w:type="dxa"/>
            <w:tcBorders/>
            <w:shd w:fill="CCEEFF" w:val="clear"/>
            <w:tcMar>
              <w:bottom w:w="0" w:type="dxa"/>
            </w:tcMar>
            <w:vAlign w:val="center"/>
          </w:tcPr>
          <w:p>
            <w:pPr>
              <w:pStyle w:val="TableContents"/>
              <w:bidi w:val="0"/>
              <w:spacing w:before="0" w:after="283"/>
              <w:jc w:val="both"/>
              <w:rPr/>
            </w:pPr>
            <w:hyperlink w:anchor="ea030668601ex10-1.htm">
              <w:r>
                <w:rPr>
                  <w:rStyle w:val="InternetLink"/>
                  <w:rFonts w:ascii="Times New Roman;Times;Serif" w:hAnsi="Times New Roman;Times;Serif"/>
                  <w:b w:val="false"/>
                  <w:i w:val="false"/>
                  <w:caps w:val="false"/>
                  <w:smallCaps w:val="false"/>
                  <w:sz w:val="20"/>
                </w:rPr>
                <w:t>English translation of Asset Acquisition Agreement, dated September 24, 2026, by and between Nanping Golden Carnival Culture Development Co., Ltd. and Guangxi Senguang Entertainment Investment Co., Ltd., relating to Yixing Qinglongshan Happy World</w:t>
              </w:r>
            </w:hyperlink>
          </w:p>
        </w:tc>
      </w:tr>
      <w:tr>
        <w:trPr/>
        <w:tc>
          <w:tcPr>
            <w:tcW w:w="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5" w:type="dxa"/>
            <w:tcBorders/>
            <w:shd w:fill="FFFFFF" w:val="clear"/>
            <w:tcMar>
              <w:bottom w:w="0" w:type="dxa"/>
            </w:tcMar>
            <w:vAlign w:val="center"/>
          </w:tcPr>
          <w:p>
            <w:pPr>
              <w:pStyle w:val="TableContents"/>
              <w:bidi w:val="0"/>
              <w:spacing w:before="0" w:after="283"/>
              <w:jc w:val="both"/>
              <w:rPr/>
            </w:pPr>
            <w:hyperlink w:anchor="ea030668601ex10-2.htm">
              <w:r>
                <w:rPr>
                  <w:rStyle w:val="InternetLink"/>
                  <w:rFonts w:ascii="Times New Roman;Times;Serif" w:hAnsi="Times New Roman;Times;Serif"/>
                  <w:b w:val="false"/>
                  <w:i w:val="false"/>
                  <w:caps w:val="false"/>
                  <w:smallCaps w:val="false"/>
                  <w:sz w:val="20"/>
                </w:rPr>
                <w:t>English translation of Asset Acquisition Agreement, dated September 24, 2026, by and between Nanping Golden Carnival Culture Development Co., Ltd. and Guangxi Senguang Entertainment Investment Co., Ltd., relating to Nanning Caribbean Water World</w:t>
              </w:r>
            </w:hyperlink>
          </w:p>
        </w:tc>
      </w:tr>
      <w:tr>
        <w:trPr/>
        <w:tc>
          <w:tcPr>
            <w:tcW w:w="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55" w:type="dxa"/>
            <w:tcBorders/>
            <w:shd w:fill="CCEEFF" w:val="clear"/>
            <w:tcMar>
              <w:bottom w:w="0" w:type="dxa"/>
            </w:tcMar>
            <w:vAlign w:val="center"/>
          </w:tcPr>
          <w:p>
            <w:pPr>
              <w:pStyle w:val="TableContents"/>
              <w:bidi w:val="0"/>
              <w:spacing w:before="0" w:after="283"/>
              <w:jc w:val="both"/>
              <w:rPr/>
            </w:pPr>
            <w:hyperlink w:anchor="ea030668601ex10-3.htm">
              <w:r>
                <w:rPr>
                  <w:rStyle w:val="InternetLink"/>
                  <w:rFonts w:ascii="Times New Roman;Times;Serif" w:hAnsi="Times New Roman;Times;Serif"/>
                  <w:b w:val="false"/>
                  <w:i w:val="false"/>
                  <w:caps w:val="false"/>
                  <w:smallCaps w:val="false"/>
                  <w:sz w:val="20"/>
                </w:rPr>
                <w:t>English translation of Asset Acquisition Agreement, dated September 24, 2026, by and between Nanping Golden Carnival Culture Development Co., Ltd. and Guangxi Senguang Entertainment Investment Co., Ltd., relating to Lishui Xingzhuang Park Children’s Amusement Park</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985" w:type="dxa"/>
        <w:jc w:val="left"/>
        <w:tblInd w:w="0" w:type="dxa"/>
        <w:tblLayout w:type="fixed"/>
        <w:tblCellMar>
          <w:top w:w="0" w:type="dxa"/>
          <w:left w:w="0" w:type="dxa"/>
          <w:bottom w:w="0" w:type="dxa"/>
          <w:right w:w="0" w:type="dxa"/>
        </w:tblCellMar>
      </w:tblPr>
      <w:tblGrid>
        <w:gridCol w:w="2135"/>
        <w:gridCol w:w="590"/>
        <w:gridCol w:w="326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38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Golden Heaven Group Holding Ltd.</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2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25, 2026</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caps w:val="false"/>
                <w:smallCaps w:val="false"/>
                <w:sz w:val="20"/>
              </w:rPr>
              <w:t>Jin Xu</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3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 Xu</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668601ex10-1.htm"/>
      <w:bookmarkStart w:id="3" w:name="ksea0306686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ACQUISITION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Yixing Qinglongshan Happy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 (Purchaser):</w:t>
      </w:r>
      <w:r>
        <w:rPr>
          <w:rFonts w:ascii="Times New Roman;Times;Serif" w:hAnsi="Times New Roman;Times;Serif"/>
          <w:b w:val="false"/>
          <w:i w:val="false"/>
          <w:caps w:val="false"/>
          <w:smallCaps w:val="false"/>
          <w:sz w:val="20"/>
        </w:rPr>
        <w:t xml:space="preserve"> Nanping Golden Carnival Culture Development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Unified Social Credit Code:</w:t>
      </w:r>
      <w:r>
        <w:rPr>
          <w:rFonts w:ascii="Times New Roman;Times;Serif" w:hAnsi="Times New Roman;Times;Serif"/>
          <w:b w:val="false"/>
          <w:i w:val="false"/>
          <w:caps w:val="false"/>
          <w:smallCaps w:val="false"/>
          <w:sz w:val="20"/>
        </w:rPr>
        <w:t xml:space="preserve"> 91350700MAK9QA4Q9X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 (Transferor):</w:t>
      </w:r>
      <w:r>
        <w:rPr>
          <w:rFonts w:ascii="Times New Roman;Times;Serif" w:hAnsi="Times New Roman;Times;Serif"/>
          <w:b w:val="false"/>
          <w:i w:val="false"/>
          <w:caps w:val="false"/>
          <w:smallCaps w:val="false"/>
          <w:sz w:val="20"/>
        </w:rPr>
        <w:t xml:space="preserve"> Guangxi Senguang Entertainment Investment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Unified Social Credit Code:</w:t>
      </w:r>
      <w:r>
        <w:rPr>
          <w:rFonts w:ascii="Times New Roman;Times;Serif" w:hAnsi="Times New Roman;Times;Serif"/>
          <w:b w:val="false"/>
          <w:i w:val="false"/>
          <w:caps w:val="false"/>
          <w:smallCaps w:val="false"/>
          <w:sz w:val="20"/>
        </w:rPr>
        <w:t xml:space="preserve"> 91450100MA5K99ME2X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lawfully holds the assets relating to the Yixing Qinglongshan Happy World project and has full ownership of, and the right to dispose of,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engaged a third-party institution to issue an Asset Appraisal Report with respect to the Target Assets, and Party A has reviewed such report and accepted the appraisal results;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intends to acquire the Target Assets relating to the Yixing Qinglongshan Happy World project held in the name of Party B, excluding any equity interest in a project company, and Party B agrees to transfer such assets in accordance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friendly consultations,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Target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The target of this acquisition is all relevant assets relating to the Yixing Qinglongshan Happy World project held in the name of Party B, including, without limitation, the fixed assets, intangible assets and rights and interests under project-related business contracts associated with the project (collectively,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constitutes an acquisition of assets only and does not include the acquisition of any equity interest in a project company or involve any change in the shareholders of a project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xml:space="preserve"> The Parties confirm that the aggregate purchase price for the Target Assets is </w:t>
      </w:r>
      <w:r>
        <w:rPr>
          <w:rFonts w:ascii="Times New Roman;Times;Serif" w:hAnsi="Times New Roman;Times;Serif"/>
          <w:b/>
          <w:i w:val="false"/>
          <w:caps w:val="false"/>
          <w:smallCaps w:val="false"/>
          <w:sz w:val="20"/>
        </w:rPr>
        <w:t>RMB26,228,437.60</w:t>
      </w:r>
      <w:r>
        <w:rPr>
          <w:rFonts w:ascii="Times New Roman;Times;Serif" w:hAnsi="Times New Roman;Times;Serif"/>
          <w:b w:val="false"/>
          <w:i w:val="false"/>
          <w:caps w:val="false"/>
          <w:smallCaps w:val="false"/>
          <w:sz w:val="20"/>
        </w:rPr>
        <w:t xml:space="preserve"> (in words: Renminbi Twenty-Six Million Two Hundred Twenty-Eight Thousand Four Hundred Thirty-Seven and Sixty Cents).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xml:space="preserve"> The purchase price shall be paid in two installments: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First installment:</w:t>
      </w:r>
      <w:r>
        <w:rPr>
          <w:rFonts w:ascii="Times New Roman;Times;Serif" w:hAnsi="Times New Roman;Times;Serif"/>
          <w:b w:val="false"/>
          <w:i w:val="false"/>
          <w:caps w:val="false"/>
          <w:smallCaps w:val="false"/>
          <w:sz w:val="20"/>
        </w:rPr>
        <w:t xml:space="preserve"> Party A shall pay 50% of the aggregate purchase price within five business days after the date of execution of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Second installment:</w:t>
      </w:r>
      <w:r>
        <w:rPr>
          <w:rFonts w:ascii="Times New Roman;Times;Serif" w:hAnsi="Times New Roman;Times;Serif"/>
          <w:b w:val="false"/>
          <w:i w:val="false"/>
          <w:caps w:val="false"/>
          <w:smallCaps w:val="false"/>
          <w:sz w:val="20"/>
        </w:rPr>
        <w:t xml:space="preserve"> Party A shall pay the remaining 50% of the purchase price within five business days after the Parties complete delivery of the Target Assets and all procedures for the transfer of title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Asset Handover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xml:space="preserve"> Following Party A’s payment of the first installment, Party B shall fully cooperate with Party A in completing the delivery of the Target Assets, registration of changes in title and delivery of the complete set of project documentation, so as to ensure that Party A successfully obtains full ownership of, and all related rights and interests in,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xml:space="preserve"> Upon completion of the handover, ownership of, risk relating to and all related rights and interests in the Target Assets shall formally transfer to Party A. Party B shall thereafter cease to have any rights relating to the Target Assets and shall not bear any obligations corresponding to the Target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Rights and Obligations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Rights and obligations of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have the right to receive the Target Assets and related documentation in accordance with this Agreement and to enjoy all rights and interests in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pay the purchase price on time in accordance with this Agreement and cooperate with Party B in completing the transfer of title to and handover of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shall be responsible for the operation and management of the Target Assets and bear the risks relating thereto following completion of the handover, and shall conduct its business in compliance with applicable laws and regulations;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shall not disclose Party B’s trade secrets or the contents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Rights and obligations of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have the right to receive the purchase price in accordance with this Agreement and shall cooperate with Party A in completing the handover of and transfer of title to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represents that the Target Assets are authentic and lawful and shall truthfully disclose information relating to the Target Assets without concealment, fraud or other similar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Following completion of the handover, Party B shall cooperate with Party A in addressing any outstanding matters relating to the Target Assets, if necessary, and shall not interfere with Party A’s operation or management of the Target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not disclose Party A’s trade secrets or the contents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xml:space="preserve"> The Parties confirm that the contents of this Agreement, information relating to the Target Assets, the Asset Appraisal Report and the Parties’ trade secrets, including financial data, operating information and customer resources, constitute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xml:space="preserve"> Each Party shall adopt reasonable confidentiality measures and shall not disclose the foregoing confidential information to any third party, except as required by law or with the other Party’s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xml:space="preserve"> The confidentiality obligations under this Article shall survive termination of this Agreement. A Party that breaches its confidentiality obligations shall compensate the other Party for all losses arising from such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w:t>
      </w:r>
      <w:r>
        <w:rPr>
          <w:rFonts w:ascii="Times New Roman;Times;Serif" w:hAnsi="Times New Roman;Times;Serif"/>
          <w:b w:val="false"/>
          <w:i w:val="false"/>
          <w:caps w:val="false"/>
          <w:smallCaps w:val="false"/>
          <w:sz w:val="20"/>
        </w:rPr>
        <w:t xml:space="preserve"> Any dispute arising during the performance of this Agreement shall first be resolved through friendly consultations between the Parties. If the dispute cannot be resolved through consultations, either Party may commence legal proceedings before a court of competent jurisdiction at Party A’s location.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xml:space="preserve"> Any matter not addressed in this Agreement may be set forth in a supplemental agreement separately executed by the Parties. Any such supplemental agreement shall have the same legal effect as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xml:space="preserve"> This Agreement shall become effective upon execution by the authorized signatories and affixation of the seals of both Parties. This Agreement is executed in four counterparts, with each Party holding two counterparts, each of which shall have the same legal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(Seal):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Golden Carnival Culture Development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 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(Seal):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Guangxi Senguang Entertainment Investment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 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Execution:</w:t>
      </w:r>
      <w:r>
        <w:rPr>
          <w:rFonts w:ascii="Times New Roman;Times;Serif" w:hAnsi="Times New Roman;Times;Serif"/>
          <w:b w:val="false"/>
          <w:i w:val="false"/>
          <w:caps w:val="false"/>
          <w:smallCaps w:val="false"/>
          <w:sz w:val="20"/>
        </w:rPr>
        <w:t xml:space="preserve"> ______ year ______ month ______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668601ex10-2.htm"/>
      <w:bookmarkStart w:id="5" w:name="ksea030668601ex102"/>
      <w:bookmarkEnd w:id="4"/>
      <w:bookmarkEnd w:id="5"/>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ACQUISITION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Nanning Caribbean Water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 (Purchaser):</w:t>
      </w:r>
      <w:r>
        <w:rPr>
          <w:rFonts w:ascii="Times New Roman;Times;Serif" w:hAnsi="Times New Roman;Times;Serif"/>
          <w:b w:val="false"/>
          <w:i w:val="false"/>
          <w:caps w:val="false"/>
          <w:smallCaps w:val="false"/>
          <w:sz w:val="20"/>
        </w:rPr>
        <w:t xml:space="preserve"> Nanping Golden Carnival Culture Development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Unified Social Credit Code:</w:t>
      </w:r>
      <w:r>
        <w:rPr>
          <w:rFonts w:ascii="Times New Roman;Times;Serif" w:hAnsi="Times New Roman;Times;Serif"/>
          <w:b w:val="false"/>
          <w:i w:val="false"/>
          <w:caps w:val="false"/>
          <w:smallCaps w:val="false"/>
          <w:sz w:val="20"/>
        </w:rPr>
        <w:t xml:space="preserve"> 91350700MAK9QA4Q9X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 (Transferor):</w:t>
      </w:r>
      <w:r>
        <w:rPr>
          <w:rFonts w:ascii="Times New Roman;Times;Serif" w:hAnsi="Times New Roman;Times;Serif"/>
          <w:b w:val="false"/>
          <w:i w:val="false"/>
          <w:caps w:val="false"/>
          <w:smallCaps w:val="false"/>
          <w:sz w:val="20"/>
        </w:rPr>
        <w:t xml:space="preserve"> Guangxi Senguang Entertainment Investment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Unified Social Credit Code:</w:t>
      </w:r>
      <w:r>
        <w:rPr>
          <w:rFonts w:ascii="Times New Roman;Times;Serif" w:hAnsi="Times New Roman;Times;Serif"/>
          <w:b w:val="false"/>
          <w:i w:val="false"/>
          <w:caps w:val="false"/>
          <w:smallCaps w:val="false"/>
          <w:sz w:val="20"/>
        </w:rPr>
        <w:t xml:space="preserve"> 91450100MA5K99ME2X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lawfully holds the assets relating to the Nanning Caribbean Water World project and has full ownership of, and the right to dispose of, such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engaged a third-party institution to issue an Asset Appraisal Report with respect to the Target Assets, and Party A has reviewed such report and accepted the appraisal results;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intends to acquire the Target Assets relating to the Nanning Caribbean Water World project held in the name of Party B, excluding any equity interest in a project company, and Party B agrees to transfer such assets in accordance with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friendly consultations, the Parties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Target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The target of this acquisition is all relevant assets relating to the Nanning Caribbean Water World project held in the name of Party B, including, without limitation, the fixed assets, intangible assets and rights and interests under project-related business contracts associated with the project (collectively, the “Target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constitutes an acquisition of assets only and does not include the acquisition of any equity interest in a project company or involve any change in the shareholders of a project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xml:space="preserve"> The Parties confirm that the aggregate purchase price for the Target Assets is </w:t>
      </w:r>
      <w:r>
        <w:rPr>
          <w:rFonts w:ascii="Times New Roman;Times;Serif" w:hAnsi="Times New Roman;Times;Serif"/>
          <w:b/>
          <w:i w:val="false"/>
          <w:caps w:val="false"/>
          <w:smallCaps w:val="false"/>
          <w:sz w:val="20"/>
        </w:rPr>
        <w:t>RMB84,335,781.72</w:t>
      </w:r>
      <w:r>
        <w:rPr>
          <w:rFonts w:ascii="Times New Roman;Times;Serif" w:hAnsi="Times New Roman;Times;Serif"/>
          <w:b w:val="false"/>
          <w:i w:val="false"/>
          <w:caps w:val="false"/>
          <w:smallCaps w:val="false"/>
          <w:sz w:val="20"/>
        </w:rPr>
        <w:t xml:space="preserve"> (in words: Renminbi Eighty-Four Million Three Hundred Thirty-Five Thousand Seven Hundred Eighty-One and Seventy-Two Cents).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xml:space="preserve"> The purchase price shall be paid in two installments: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First installment:</w:t>
      </w:r>
      <w:r>
        <w:rPr>
          <w:rFonts w:ascii="Times New Roman;Times;Serif" w:hAnsi="Times New Roman;Times;Serif"/>
          <w:b w:val="false"/>
          <w:i w:val="false"/>
          <w:caps w:val="false"/>
          <w:smallCaps w:val="false"/>
          <w:sz w:val="20"/>
        </w:rPr>
        <w:t xml:space="preserve"> Party A shall pay 50% of the aggregate purchase price within five business days after the date of execution of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Second installment:</w:t>
      </w:r>
      <w:r>
        <w:rPr>
          <w:rFonts w:ascii="Times New Roman;Times;Serif" w:hAnsi="Times New Roman;Times;Serif"/>
          <w:b w:val="false"/>
          <w:i w:val="false"/>
          <w:caps w:val="false"/>
          <w:smallCaps w:val="false"/>
          <w:sz w:val="20"/>
        </w:rPr>
        <w:t xml:space="preserve"> Party A shall pay the remaining 50% of the purchase price within five business days after the Parties complete delivery of the Target Assets and all procedures for the transfer of title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Asset Handover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xml:space="preserve"> Following Party A’s payment of the first installment, Party B shall fully cooperate with Party A in completing the delivery of the Target Assets, registration of changes in title and delivery of the complete set of project documentation, so as to ensure that Party A successfully obtains full ownership of, and all related rights and interests in, the Target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xml:space="preserve"> Upon completion of the handover, ownership of, risk relating to and all related rights and interests in the Target Assets shall formally transfer to Party A. Party B shall thereafter cease to have any rights relating to the Target Assets and shall not bear any obligations corresponding to the Target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Rights and Obligations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Rights and obligations of Party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have the right to receive the Target Assets and related documentation in accordance with this Agreement and to enjoy all rights and interests in the Target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pay the purchase price on time in accordance with this Agreement and cooperate with Party B in completing the transfer of title to and handover of the Target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shall be responsible for the operation and management of the Target Assets and bear the risks relating thereto following completion of the handover, and shall conduct its business in compliance with applicable laws and regulations;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shall not disclose Party B’s trade secrets or the contents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Rights and obligations of Party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have the right to receive the purchase price in accordance with this Agreement and shall cooperate with Party A in completing the handover of and transfer of title to the Target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represents that the Target Assets are authentic and lawful and shall truthfully disclose information relating to the Target Assets without concealment, fraud or other similar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Following completion of the handover, Party B shall cooperate with Party A in addressing any outstanding matters relating to the Target Assets, if necessary, and shall not interfere with Party A’s operation or management of the Target Assets;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not disclose Party A’s trade secrets or the contents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xml:space="preserve"> The Parties confirm that the contents of this Agreement, information relating to the Target Assets, the Asset Appraisal Report and the Parties’ trade secrets, including financial data, operating information and customer resources, constitute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xml:space="preserve"> Each Party shall adopt reasonable confidentiality measures and shall not disclose the foregoing confidential information to any third party, except as required by law or with the other Party’s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xml:space="preserve"> The confidentiality obligations under this Article shall survive termination of this Agreement. A Party that breaches its confidentiality obligations shall compensate the other Party for all losses arising from such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w:t>
      </w:r>
      <w:r>
        <w:rPr>
          <w:rFonts w:ascii="Times New Roman;Times;Serif" w:hAnsi="Times New Roman;Times;Serif"/>
          <w:b w:val="false"/>
          <w:i w:val="false"/>
          <w:caps w:val="false"/>
          <w:smallCaps w:val="false"/>
          <w:sz w:val="20"/>
        </w:rPr>
        <w:t xml:space="preserve"> Any dispute arising during the performance of this Agreement shall first be resolved through friendly consultations between the Parties. If the dispute cannot be resolved through consultations, either Party may commence legal proceedings before a court of competent jurisdiction at Party A’s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xml:space="preserve"> Any matter not addressed in this Agreement may be set forth in a supplemental agreement separately executed by the Parties. Any such supplemental agreement shall have the same legal effect as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xml:space="preserve"> This Agreement shall become effective upon execution by the authorized signatories and affixation of the seals of both Parties. This Agreement is executed in four counterparts, with each Party holding two counterparts, each of which shall have the same legal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(Seal):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Golden Carnival Culture Development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 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(Seal):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Guangxi Senguang Entertainment Investment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 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Execution:</w:t>
      </w:r>
      <w:r>
        <w:rPr>
          <w:rFonts w:ascii="Times New Roman;Times;Serif" w:hAnsi="Times New Roman;Times;Serif"/>
          <w:b w:val="false"/>
          <w:i w:val="false"/>
          <w:caps w:val="false"/>
          <w:smallCaps w:val="false"/>
          <w:sz w:val="20"/>
        </w:rPr>
        <w:t xml:space="preserve"> ______ year ______ month ______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 w:name="ea030668601ex10-3.htm"/>
      <w:bookmarkStart w:id="7" w:name="ksea030668601ex103"/>
      <w:bookmarkEnd w:id="6"/>
      <w:bookmarkEnd w:id="7"/>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ACQUISITION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Lishui Xingzhuang Park Children’s Amusement Park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A (Purchaser):</w:t>
      </w:r>
      <w:r>
        <w:rPr>
          <w:rFonts w:ascii="Times New Roman;Times;Serif" w:hAnsi="Times New Roman;Times;Serif"/>
          <w:b w:val="false"/>
          <w:i w:val="false"/>
          <w:caps w:val="false"/>
          <w:smallCaps w:val="false"/>
          <w:sz w:val="20"/>
        </w:rPr>
        <w:t xml:space="preserve"> Nanping Golden Carnival Culture Development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Unified Social Credit Code:</w:t>
      </w:r>
      <w:r>
        <w:rPr>
          <w:rFonts w:ascii="Times New Roman;Times;Serif" w:hAnsi="Times New Roman;Times;Serif"/>
          <w:b w:val="false"/>
          <w:i w:val="false"/>
          <w:caps w:val="false"/>
          <w:smallCaps w:val="false"/>
          <w:sz w:val="20"/>
        </w:rPr>
        <w:t xml:space="preserve"> 91350700MAK9QA4Q9X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Party B (Transferor):</w:t>
      </w:r>
      <w:r>
        <w:rPr>
          <w:rFonts w:ascii="Times New Roman;Times;Serif" w:hAnsi="Times New Roman;Times;Serif"/>
          <w:b w:val="false"/>
          <w:i w:val="false"/>
          <w:caps w:val="false"/>
          <w:smallCaps w:val="false"/>
          <w:sz w:val="20"/>
        </w:rPr>
        <w:t xml:space="preserve"> Guangxi Senguang Entertainment Investment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Unified Social Credit Code:</w:t>
      </w:r>
      <w:r>
        <w:rPr>
          <w:rFonts w:ascii="Times New Roman;Times;Serif" w:hAnsi="Times New Roman;Times;Serif"/>
          <w:b w:val="false"/>
          <w:i w:val="false"/>
          <w:caps w:val="false"/>
          <w:smallCaps w:val="false"/>
          <w:sz w:val="20"/>
        </w:rPr>
        <w:t xml:space="preserve"> 91450100MA5K99ME2X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lawfully holds the assets relating to the Lishui Xingzhuang Park Children’s Amusement Park project and has full ownership of, and the right to dispose of, such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has engaged a third-party institution to issue an Asset Appraisal Report with respect to the Target Assets, and Party A has reviewed such report and accepted the appraisal results;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intends to acquire the Target Assets relating to the Lishui Xingzhuang Park Children’s Amusement Park project held in the name of Party B, excluding any equity interest in a project company, and Party B agrees to transfer such assets in accordance with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friendly consultations, the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Target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The target of this acquisition is all relevant assets relating to the Lishui Xingzhuang Park Children’s Amusement Park project held in the name of Party B, including, without limitation, the fixed assets, intangible assets and rights and interests under project-related business contracts associated with the project (collectively,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transaction constitutes an acquisition of assets only and does not include the acquisition of any equity interest in a project company or involve any change in the shareholders of a project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w:t>
      </w:r>
      <w:r>
        <w:rPr>
          <w:rFonts w:ascii="Times New Roman;Times;Serif" w:hAnsi="Times New Roman;Times;Serif"/>
          <w:b w:val="false"/>
          <w:i w:val="false"/>
          <w:caps w:val="false"/>
          <w:smallCaps w:val="false"/>
          <w:sz w:val="20"/>
        </w:rPr>
        <w:t xml:space="preserve"> The Parties confirm that the aggregate purchase price for the Target Assets is </w:t>
      </w:r>
      <w:r>
        <w:rPr>
          <w:rFonts w:ascii="Times New Roman;Times;Serif" w:hAnsi="Times New Roman;Times;Serif"/>
          <w:b/>
          <w:i w:val="false"/>
          <w:caps w:val="false"/>
          <w:smallCaps w:val="false"/>
          <w:sz w:val="20"/>
        </w:rPr>
        <w:t>RMB29,381,573.20</w:t>
      </w:r>
      <w:r>
        <w:rPr>
          <w:rFonts w:ascii="Times New Roman;Times;Serif" w:hAnsi="Times New Roman;Times;Serif"/>
          <w:b w:val="false"/>
          <w:i w:val="false"/>
          <w:caps w:val="false"/>
          <w:smallCaps w:val="false"/>
          <w:sz w:val="20"/>
        </w:rPr>
        <w:t xml:space="preserve"> (in words: Renminbi Twenty-Nine Million Three Hundred Eighty-One Thousand Five Hundred Seventy-Three and Twenty Cents).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Payment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w:t>
      </w:r>
      <w:r>
        <w:rPr>
          <w:rFonts w:ascii="Times New Roman;Times;Serif" w:hAnsi="Times New Roman;Times;Serif"/>
          <w:b w:val="false"/>
          <w:i w:val="false"/>
          <w:caps w:val="false"/>
          <w:smallCaps w:val="false"/>
          <w:sz w:val="20"/>
        </w:rPr>
        <w:t xml:space="preserve"> The purchase price shall be paid in two installments: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First installment:</w:t>
      </w:r>
      <w:r>
        <w:rPr>
          <w:rFonts w:ascii="Times New Roman;Times;Serif" w:hAnsi="Times New Roman;Times;Serif"/>
          <w:b w:val="false"/>
          <w:i w:val="false"/>
          <w:caps w:val="false"/>
          <w:smallCaps w:val="false"/>
          <w:sz w:val="20"/>
        </w:rPr>
        <w:t xml:space="preserve"> Party A shall pay 50% of the aggregate purchase price within five business days after the date of execution of this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Second installment:</w:t>
      </w:r>
      <w:r>
        <w:rPr>
          <w:rFonts w:ascii="Times New Roman;Times;Serif" w:hAnsi="Times New Roman;Times;Serif"/>
          <w:b w:val="false"/>
          <w:i w:val="false"/>
          <w:caps w:val="false"/>
          <w:smallCaps w:val="false"/>
          <w:sz w:val="20"/>
        </w:rPr>
        <w:t xml:space="preserve"> Party A shall pay the remaining 50% of the purchase price within five business days after the Parties complete delivery of the Target Assets and all procedures for the transfer of title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Asset Handover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xml:space="preserve"> Following Party A’s payment of the first installment, Party B shall fully cooperate with Party A in completing the delivery of the Target Assets, registration of changes in title and delivery of the complete set of project documentation, so as to ensure that Party A successfully obtains full ownership of, and all related rights and interests in,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xml:space="preserve"> Upon completion of the handover, ownership of, risk relating to and all related rights and interests in the Target Assets shall formally transfer to Party A. Party B shall thereafter cease to have any rights relating to the Target Assets and shall not bear any obligations corresponding to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Rights and Obligations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Rights and obligations of Party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A shall have the right to receive the Target Assets and related documentation in accordance with this Agreement and to enjoy all rights and interests in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A shall pay the purchase price on time in accordance with this Agreement and cooperate with Party B in completing the transfer of title to and handover of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Party A shall be responsible for the operation and management of the Target Assets and bear the risks relating thereto following completion of the handover, and shall conduct its business in compliance with applicable laws and regulations;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A shall not disclose Party B’s trade secrets or the contents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 Rights and obligations of Party 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Party B shall have the right to receive the purchase price in accordance with this Agreement and shall cooperate with Party A in completing the handover of and transfer of title to the Target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Party B represents that the Target Assets are authentic and lawful and shall truthfully disclose information relating to the Target Assets without concealment, fraud or other similar conduct;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Following completion of the handover, Party B shall cooperate with Party A in addressing any outstanding matters relating to the Target Assets, if necessary, and shall not interfere with Party A’s operation or management of the Target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Party B shall not disclose Party A’s trade secrets or the contents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xml:space="preserve"> The Parties confirm that the contents of this Agreement, information relating to the Target Assets, the Asset Appraisal Report and the Parties’ trade secrets, including financial data, operating information and customer resources, constitute confidential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w:t>
      </w:r>
      <w:r>
        <w:rPr>
          <w:rFonts w:ascii="Times New Roman;Times;Serif" w:hAnsi="Times New Roman;Times;Serif"/>
          <w:b w:val="false"/>
          <w:i w:val="false"/>
          <w:caps w:val="false"/>
          <w:smallCaps w:val="false"/>
          <w:sz w:val="20"/>
        </w:rPr>
        <w:t xml:space="preserve"> Each Party shall adopt reasonable confidentiality measures and shall not disclose the foregoing confidential information to any third party, except as required by law or with the other Party’s prior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xml:space="preserve"> The confidentiality obligations under this Article shall survive termination of this Agreement. A Party that breaches its confidentiality obligations shall compensate the other Party for all losses arising from such breach.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Dispute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w:t>
      </w:r>
      <w:r>
        <w:rPr>
          <w:rFonts w:ascii="Times New Roman;Times;Serif" w:hAnsi="Times New Roman;Times;Serif"/>
          <w:b w:val="false"/>
          <w:i w:val="false"/>
          <w:caps w:val="false"/>
          <w:smallCaps w:val="false"/>
          <w:sz w:val="20"/>
        </w:rPr>
        <w:t xml:space="preserve"> Any dispute arising during the performance of this Agreement shall first be resolved through friendly consultations between the Parties. If the dispute cannot be resolved through consultations, either Party may commence legal proceedings before a court of competent jurisdiction at Party A’s location.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w:t>
      </w:r>
      <w:r>
        <w:rPr>
          <w:rFonts w:ascii="Times New Roman;Times;Serif" w:hAnsi="Times New Roman;Times;Serif"/>
          <w:b w:val="false"/>
          <w:i w:val="false"/>
          <w:caps w:val="false"/>
          <w:smallCaps w:val="false"/>
          <w:sz w:val="20"/>
        </w:rPr>
        <w:t xml:space="preserve"> Any matter not addressed in this Agreement may be set forth in a supplemental agreement separately executed by the Parties. Any such supplemental agreement shall have the same legal effect as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w:t>
      </w:r>
      <w:r>
        <w:rPr>
          <w:rFonts w:ascii="Times New Roman;Times;Serif" w:hAnsi="Times New Roman;Times;Serif"/>
          <w:b w:val="false"/>
          <w:i w:val="false"/>
          <w:caps w:val="false"/>
          <w:smallCaps w:val="false"/>
          <w:sz w:val="20"/>
        </w:rPr>
        <w:t xml:space="preserve"> This Agreement shall become effective upon execution by the authorized signatories and affixation of the seals of both Parties. This Agreement is executed in four counterparts, with each Party holding two counterparts, each of which shall have the same legal effect.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remainder of this page is intentionally left blank.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A (Seal):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Nanping Golden Carnival Culture Development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 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Party B (Seal):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Guangxi Senguang Entertainment Investment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Representative/Authorized Representative: 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Execution:</w:t>
      </w:r>
      <w:r>
        <w:rPr>
          <w:rFonts w:ascii="Times New Roman;Times;Serif" w:hAnsi="Times New Roman;Times;Serif"/>
          <w:b w:val="false"/>
          <w:i w:val="false"/>
          <w:caps w:val="false"/>
          <w:smallCaps w:val="false"/>
          <w:sz w:val="20"/>
        </w:rPr>
        <w:t xml:space="preserve"> ______ year ______ month ______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340/000121390024043612/ea0205599-s8_golden.htm" TargetMode="External"/><Relationship Id="rId3" Type="http://schemas.openxmlformats.org/officeDocument/2006/relationships/hyperlink" Target="https://www.sec.gov/Archives/edgar/data/1928340/000121390024049756/ea0207066-f3_golden.htm" TargetMode="External"/><Relationship Id="rId4" Type="http://schemas.openxmlformats.org/officeDocument/2006/relationships/hyperlink" Target="https://www.sec.gov/Archives/edgar/data/1928340/000121390024107407/ea0224225-s8_golden.htm" TargetMode="External"/><Relationship Id="rId5" Type="http://schemas.openxmlformats.org/officeDocument/2006/relationships/hyperlink" Target="https://www.sec.gov/Archives/edgar/data/1928340/000121390025126078/ea0270541-f3_golden.htm" TargetMode="External"/><Relationship Id="rId6" Type="http://schemas.openxmlformats.org/officeDocument/2006/relationships/hyperlink" Target="https://www.sec.gov/Archives/edgar/data/1928340/000121390026047788/ea0287776-f3_golden.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3646</Words>
  <Characters>20155</Characters>
  <CharactersWithSpaces>23820</CharactersWithSpaces>
  <Paragraphs>445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