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9290-424b5_golden.htm"/>
      <w:bookmarkStart w:id="1" w:name="ksea0299290424b5_golden"/>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333-292462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February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$50,000,000 of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Group Holdings Ltd. (the “Company,” “we,” “us” or “our”) has entered into a sales agreement (the “Sales Agreement”), with Craft Capital Management LLC (the “Sales Agent”) relating to the sale of our Class A ordinary shares, par value $0.00001 per share (“Class A Ordinary Shares”), offered by this prospectus supplement and the accompanying base prospectus. In accordance with the Sales Agreement, we may offer Class A Ordinary Shares, from time to time through or to the Sales Agent, as agent, for an aggregate offering price of up to $50,000,000.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Ordinary Shares, if any, under this prospectus supplement and the accompanying base prospectus will be made by any method permitted by applicable law deemed to be an “at the market offering” as defined in Rule 415 under the Securities Act of 1933, as amended (the “Securities Act”). The Sales Agent will utilize the services of an executing broker that is also a registered broker-dealer and member of the Financial Industry Regulatory Authority (“FINRA”). Subject to the terms of the Sales Agreement, the Sales Agent will make all sales using commercially reasonable efforts consistent with its normal sales and trading practices on terms mutually agreed upon between the Sales Agent and us. There is no arrangement for funds to be received in an escrow, trust or similar arrangement.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and applicable executing broker will be entitled to an aggregate compensation of 5.0% of the gross proceeds from each sale of our Class A Ordinary Shares through them pursuant to the Sales Agreement. The Company will reimburse the Sales Agent for reasonable, documented and accountable out-of-pocket expenses incurred by the Sales Agent in connection with the sale. The net proceeds to us that we receive from sales of our Class A Ordinary Shares will depend on the number of such shares actually sold and the offering price for such shares. See “Plan of Distribution” beginning on page S-9 for additional information regarding the compensation to be paid to the Sales Agent. We are limited to the sale of not more than $50,000,000 of our Class A Ordinary Shares pursuant to the Sales Agreement. Based on the trading price of our Class A Ordinary Shares and because there is no minimum offering amount provided for under the Sales Agreement, the actual proceeds to us will vary.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Class A Ordinary Shares on our behalf, the Sales Agent will be deemed to be an “underwriter” within the meaning of the Securities Act, and the compensation of the Sales Agent will be deemed to be underwriting commissions or discounts. We have also agreed to provide indemnification and contribution to the Sales Agent against certain civil liabilities, including liabilities under the Securities Act or the Securities Exchange Act of 1934, as amended, or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of the expenses incident to the registration, offering and sale of the Class A Ordinary Shares under this prospectus supplement and the accompanying base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the authorized share capital of the Company is US$33,000 divided into: (i) 3,000,000,000 Class A Ordinary Shares, and (ii) 300,000,000 Class B ordinary shares of US$0.00001 par value each (the “Class B Ordinary Shares”). Holders of Class A Ordinary Shares and Class B Ordinary Shares have the same rights and privileges except for voting and conversion rights. In respect of all matters subject to vote by way of poll at general meetings of the Company, each holder of Class A Ordinary Shares is entitled to one vote per one Class A Ordinary Share and each holder of Class B Ordinary Shares is entitled to 200 votes per one Class B Ordinary Share. Class B Ordinary Shares are convertible into Class A Ordinary Shares at any time at the option of the holder. Each one (1) Class B Ordinary Share is convertible into one (1) Class A Ordinary Share. Class A Ordinary Shares are not convertible into shares of any other class. As of the date of this prospectus supplement, we have 59,419,326 Class A Ordinary Shares and 71,574 Class B Ordinary Shares issued and outstanding,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“GDHG.” On August 28, 2026, the last reported sale price of our Class A Ordinary Shares on The Nasdaq Capital Market was $1.33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incorporated in the Cayman Islands. We have no material operations of our own and conduct substantially all our operations through the Chinese operating entities. We directly hold 100% equity interests in the Chinese operating entities and do not currently adopt any variable interest entity (“VIE”) contractual agreements between the entities. Investors in our securities are purchasing equity interests in the Cayman Islands holding company, and not in the Chinese operating entities. Investors in our securities may never hold equity interests in the Chinese operating entities. Our operating structure involves unique risks to investors. The Chinese regulatory authorities could disallow our operating structure, which would likely result in a material change in our operations and/or a material change in the value of our Class A Ordinary Shares, and could cause the value of our Class A Ordinary Shares to significantly decline or become worthless. See “Item 3. Key Information—D. Risk Factors—Risks Related to Doing Business in the PRC—The Chinese government exerts substantial influence over the manner in which the operating entities conduct their business activities, may intervene or influence such operations at any time, or may exert more control over offerings conducted overseas and/or foreign investment in China-based issuers, which could result in a material change in such operations and the value of our securities, significantly limit or completely hinder our ability to offer or continue to offer securities to investors, and cause the value of our securities to significantly decline or be worthless” in the 2025 Annual Report, which is incorporated by reference into this prospectus supplement. As used in this prospectus supplement, terms such as the “Company,” “we,” “us,” “our company,” or “our” refer to Golden Heaven Group Holdings Ltd., unless the context suggests otherwise, and when describing Golden Heaven Group Holdings Ltd.’s consolidated financial information, such terms shall also include the Chinese operating entities. For further information on our corporate structure, see “Prospectus Summary—Our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substantially all of our operations are conducted by the operating entities in China, we are subject to the associated legal and operational risks, including risks related to the legal, political and economic policies of the Chinese government, the relations between China and the United States, or Chinese or United States regulations, which risks could result in a material change in our operations and/or cause the value of our securities to significantly decline or become worthless, and affect our ability to offer or continue to offer securities to investors. The PRC government have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supplement, neither we nor the Chinese operating entities have been involved in any investigations on cybersecurity review initiated by any PRC regulatory authority, nor has any of them received any inquiry, notice, or sanction. As confirmed by our PRC counsel, Fujian Mingan Law Firm, we are not subject to cybersecurity review with the Cyberspace Administration of China, or the “CAC,” under the Cybersecurity Review Measures that became effective on February 15, 2022, since we currently do not have over one million users’ personal information and do not anticipate that we will be collecting over one million users’ personal information in the foreseeable future, which we understand might otherwise subject us to the Cybersecurity Review Measures. See “Item 3. Key Information—D. Risk Factors—Risks Related to Doing Business in the PRC—Recent greater oversight by the CAC over data security could adversely impact the operating entities’ business” in the 2025 Annual Report, which is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China Securities Regulatory Commission (the “CSRC”) promulgated the Trial Administrative Measures of Overseas Securities Offering and Listing by Domestic Companies, or the “Trial Measures,” and five supporting guidelines, which came into effect on March 31, 2023. According to the Notice on the Administrative Arrangements for the Filing of the Overseas Securities Offering and Listing by Domestic Companies from the CSRC, or “the CSRC Notice,” domestic companies that have already been listed overseas before the effective date of the Trial Measures (namely, March 31, 2023) shall be deemed as existing issuers (the “Existing Issuers”). Existing Issuers are not required to complete the filing procedures immediately, and they shall be required to file with the CSRC for any subsequent offerings. As advised by our PRC counsel, Fujian Mingan Law Firm, we are required to complete the filing procedures with the CSRC for this offering. In the event that we intend to undertake new offerings or fundraising activities in the future, to ensure compliance with the relevant regulations, we intend to file for compliance accordingly. See “Item 3. Key Information—D. Risk Factors—Risks Related to Doing Business in the PRC—The approval and/or other requirements of the CSRC or other PRC government authorities may be required in connection with offerings under PRC rules, regulations or policies, and, if required, we cannot predict whether or how soon we will be able to obtain such approval” in the 2025 Annual Report. Other than the foregoing, as of the date of this prospectus supplement, according to our PRC counsel, Fujian Mingan Law Firm, no relevant laws or regulations in the PRC explicitly require us to seek approval from the CSRC or any other PRC governmental authorities for our overseas listing. As of the date of this prospectus supplement, neither we nor the Chinese operating entities have received any inquiry, notice, warning, or sanctions regarding our overseas listing from the CSRC or any other PRC governmental authorities. Since these statements and regulatory actions are newly published, however, official guidance and related implementation rules have not been issued. It is highly uncertain what the potential impact such modified or new laws and regulations will have on the daily business operations of the Chinese operating entities, our ability to accept foreign investments, and our listing on a U.S. exchange. The Standing Committee of the National People’s Congress (the “SCNPC”) or PRC regulatory authorities may in the future promulgate laws, regulations, or implement rules that require us or the Chinese operating entities to obtain regulatory approval from Chinese authorities for listing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Class A Ordinary Shares may be delisted from a national exchange or prohibited from being traded over-the-counter under the Holding Foreign Companies Accountable Act (the “HFCA Act”) if the Public Company Accounting Oversight Board (the “PCAOB”) is unable to inspect our auditor for two consecutive years. On December 16, 2021, the PCAOB issued its determinations that the PCAOB was unable to inspect or investigate completely PCAOB-registered public accounting firms headquartered in mainland China and in Hong Kong, because of positions taken by PRC authorities in those jurisdictions, which determinations were vacated on December 15, 2022. Our auditor, ASSENTSURE PAC, is headquartered in Singapore, will be inspected by the PCAOB on a regular basis, and it is not subject to the determinations announced by the PCAOB on December 16, 2021. On August 26, 2022, the PCAOB signed a Statement of Protocol Agreement (the “SOP”) with the CSRC and China’s Ministry of Finance. The SOP, together with two protocol agreements governing inspections and investigations (together, the “SOP Agreements”), establish a specific, accountable framework to make possible complete inspections and investigations by the PCAOB of audit firms based in mainland China and Hong Kong, as required under U.S. law.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On June 22, 2021, the U.S. Senate passed the Accelerating Holding Foreign Companies Accountable Act (the “AHFCA Act”), and on December 29, 2022, legislation entitled “Consolidated Appropriations Act, 2023” (the “Consolidated Appropriations Act”) was signed into law by President Biden, which contained, among other things, an identical provision to the AHFCA Act and amended the HFCA Act by requiring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See “Item 3. Key Information—D. Risk Factors—Risks Related to Our Class A Ordinary Shares and the Trading Market—Recent joint statement by the SEC and the PCAOB proposed rule changes submitted by Nasdaq, and the Holding Foreign Companies Accountable Act passed by the U.S. Senate all call for additional and more stringent criteria to be applied to emerging market companies upon assessing the qualification of their auditors, especially the non-U.S. auditors who are not inspected by the PCAOB. These developments could add uncertainties to our future offerings” in the 2025 Annual Report, which is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have not maintained any cash management policies that dictate the purpose, amount and procedure for fund transfers among our Cayman Islands holding company, our subsidiaries, or investors. Rather, the funds can be transferred in accordance with the applicable laws and regulations. In May 2023, our Cayman Islands holding company made a net cash transfer in the amount of approximately $6.19 million to the Chinese operating entities, which amount is derived from the net proceeds raised from our initial public offering. See “Prospectus Summary—Cash Transfers and Dividend Distributions.” As of the date of this prospectus supplement, our Cayman Islands holding company has not declared or paid dividends or made distributions to the Chinese operating entities or to investors in the past, nor were any dividends or distributions made by a Chinese operating entity to the Cayman Islands holding company. Our board of directors has complete discretion on whether to distribute dividends, subject to applicable laws. We do not have any current plan to declare or pay any cash dividends on our Class A Ordinary Shares in the foreseeable future. See “Item 3. Key Information—D. Risk Factors— Risks Related to Our Class A Ordinary Shares and the Trading Market—We currently do not expect to pay dividends in the foreseeable future and you must rely on price appreciation of the Class A Ordinary Shares for return on your investment” in the 2025 Annual Report, which is incorporated by reference into this prospectus supplement. Subject to certain contractual, legal and regulatory restrictions, cash and capital contributions may be transferred among our Cayman Islands holding company and the Chinese operating entities. If needed, our Cayman Islands holding company can transfer cash to the Chinese operating entities through loans and/or capital contributions, and the Chinese operating entities can transfer cash to our Cayman Islands holding company through loans and/or issuing dividends or other distributions. There are limitations on the ability to transfer cash between the Cayman Islands holding company, the Chinese operating entities or investors. Cash transfers from the Cayman Islands holding company to the Chinese operating entities are subject to the applicable PRC laws and regulations on loans and direct investment. See “Item 3. Key Information—D. Risk Factors—Risks Related to Doing Business in the PRC—PRC regulations of loans and direct investment by offshore holding companies to PRC entities may delay or prevent us from using the proceeds of our offshore financing to make loans or additional capital contributions to the operating entities, which could materially and adversely affect our liquidity and business” in the 2025 Annual Report, which is incorporated by reference into this prospectus supplement. If any of the operating entities incurs debt on its own behalf in the future, the instruments governing such debt may restrict their ability to pay dividends to the Cayman Islands holding company. Cash transfers from the Chinese operating entities to the Cayman Islands holding company are also subject to the current PRC regulations, which permit the Chinese operating entities to pay dividends to their shareholders only out of their accumulated profits, if any, determined in accordance with PRC accounting standards and regulations. See “Item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 in the 2025 Annual Report, which is incorporated by reference into this prospectus supplement. Cash transfers from the Cayman Islands holding company to the investors are subject to the restrictions on the remittance of Renminbi into and out of China and governmental control of currency conversion. See “Item 3. Key Information—D. Risk Factors—Risks Related to Doing Business in the PRC—Restrictions on the remittance of Renminbi into and out of China and governmental control of currency conversion may limit our ability to pay dividends and other obligations, and affect the value of your investment” in the 2025 Annual Report, which is incorporated by reference into this prospectus supplement. Additionally, to the extent cash or assets in the business is in China or a Chinese operating entity, the funds or assets may not be available to fund operations or for other use outside of China due to interventions in or the imposition of restrictions and limitations on the ability of our Company or the operating entities by the PRC government to transfer cash or assets. See “Item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 in the 2025 Annual Report, which is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Cuizhang Gong beneficially owns 71,574, or 100%, of our Class B Ordinary Shares through YITONG ASIA INVESTMENT PTE. LTD., an exempt private company limited by shares incorporated in Singapore that is 100% owned by Cuizhang Gong. As a result, Cuizhang Gong owns more than a majority of the aggregate voting power of our issued and outstanding ordinary shares. As such, we are a “controlled company” under Nasdaq Listing Rule 5615 and are allowed to follow certain exemptions afforded to a “controlled company” under the Nasdaq Listing Rules. However, we do not intend to avail ourselves of such corporate governance exemptions. See “Item 3. Key Information—D. Risk Factors—Risks Related to Our Class A Ordinary Shares and the Trading Market—Since we are a ‘controlled company’ within the meaning of the Nasdaq listing rules, we may follow certain exemptions from certain corporate governance requirements that could adversely affect our public shareholders” in the 2025 Annual Report, which is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applicable U.S. securities laws and are eligible for reduced public company reporting requirements. See “Item 3. Key Information—D. Risk Factors—Risks Related to Our Class A Ordinary Shares and the Trading Market—For as long as we are an emerging growth company, we will not be required to comply with certain reporting requirements, including those relating to accounting standards and disclosure about our executive compensation, that apply to other public companies” and “Item 3. Key Information—D. Risk Factors—Risks Related to Our Class A Ordinary Shares and the Trading Market—We are a foreign private issuer within the meaning of the rules under the Exchange Act, and as such we are exempt from certain provisions applicable to U.S. domestic public companies” in the 2025 Annual Report, which is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Class A Ordinary Shares involves risks. See “Risk Factors” beginning on page S-4 of this prospectus supplement, page 11 of the accompanying base prospectus and “Item 3. Key Information—D. Risk Factors” in the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supplement or the accompanying base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Craft Capital Management LLC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w:t>
      </w:r>
    </w:p>
    <w:p>
      <w:pPr>
        <w:pStyle w:val="TextBody"/>
        <w:bidi w:val="0"/>
        <w:spacing w:before="0" w:after="0"/>
        <w:ind w:left="0" w:right="0" w:hanging="0"/>
        <w:jc w:val="center"/>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4685"/>
        <w:gridCol w:w="455"/>
      </w:tblGrid>
      <w:tr>
        <w:trPr/>
        <w:tc>
          <w:tcPr>
            <w:tcW w:w="468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4685"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sz w:val="20"/>
                  <w:u w:val="single"/>
                </w:rPr>
                <w:t>About this Prospectus Supplement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w:t>
            </w:r>
          </w:p>
        </w:tc>
      </w:tr>
      <w:tr>
        <w:trPr/>
        <w:tc>
          <w:tcPr>
            <w:tcW w:w="4685"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sz w:val="20"/>
                  <w:u w:val="single"/>
                </w:rPr>
                <w:t>Commonly Used Defined Terms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S-iii</w:t>
            </w:r>
          </w:p>
        </w:tc>
      </w:tr>
      <w:tr>
        <w:trPr/>
        <w:tc>
          <w:tcPr>
            <w:tcW w:w="4685"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sz w:val="20"/>
                  <w:u w:val="single"/>
                </w:rPr>
                <w:t>Cautionary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S-iv</w:t>
            </w:r>
          </w:p>
        </w:tc>
      </w:tr>
      <w:tr>
        <w:trPr/>
        <w:tc>
          <w:tcPr>
            <w:tcW w:w="4685" w:type="dxa"/>
            <w:tcBorders/>
            <w:shd w:fill="FFFFFF" w:val="clear"/>
            <w:vAlign w:val="center"/>
          </w:tcPr>
          <w:p>
            <w:pPr>
              <w:pStyle w:val="TableContents"/>
              <w:bidi w:val="0"/>
              <w:spacing w:before="0" w:after="283"/>
              <w:jc w:val="left"/>
              <w:rPr/>
            </w:pPr>
            <w:hyperlink w:anchor="s_004">
              <w:r>
                <w:rPr>
                  <w:rStyle w:val="InternetLink"/>
                  <w:rFonts w:ascii="Times New Roman;Times;Serif" w:hAnsi="Times New Roman;Times;Serif"/>
                  <w:sz w:val="20"/>
                  <w:u w:val="single"/>
                </w:rPr>
                <w:t>Prospectus Supplement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4685" w:type="dxa"/>
            <w:tcBorders/>
            <w:shd w:fill="CCEEFF" w:val="clear"/>
            <w:vAlign w:val="center"/>
          </w:tcPr>
          <w:p>
            <w:pPr>
              <w:pStyle w:val="TableContents"/>
              <w:bidi w:val="0"/>
              <w:spacing w:before="0" w:after="283"/>
              <w:jc w:val="left"/>
              <w:rPr/>
            </w:pPr>
            <w:hyperlink w:anchor="s_005">
              <w:r>
                <w:rPr>
                  <w:rStyle w:val="InternetLink"/>
                  <w:rFonts w:ascii="Times New Roman;Times;Serif" w:hAnsi="Times New Roman;Times;Serif"/>
                  <w:sz w:val="20"/>
                  <w:u w:val="single"/>
                </w:rPr>
                <w:t>The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r>
      <w:tr>
        <w:trPr/>
        <w:tc>
          <w:tcPr>
            <w:tcW w:w="4685" w:type="dxa"/>
            <w:tcBorders/>
            <w:shd w:fill="FFFFFF" w:val="clear"/>
            <w:vAlign w:val="center"/>
          </w:tcPr>
          <w:p>
            <w:pPr>
              <w:pStyle w:val="TableContents"/>
              <w:bidi w:val="0"/>
              <w:spacing w:before="0" w:after="283"/>
              <w:jc w:val="left"/>
              <w:rPr/>
            </w:pPr>
            <w:hyperlink w:anchor="s_006">
              <w:r>
                <w:rPr>
                  <w:rStyle w:val="InternetLink"/>
                  <w:rFonts w:ascii="Times New Roman;Times;Serif" w:hAnsi="Times New Roman;Times;Serif"/>
                  <w:sz w:val="20"/>
                  <w:u w:val="single"/>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r>
      <w:tr>
        <w:trPr/>
        <w:tc>
          <w:tcPr>
            <w:tcW w:w="4685" w:type="dxa"/>
            <w:tcBorders/>
            <w:shd w:fill="CCEEFF" w:val="clear"/>
            <w:vAlign w:val="center"/>
          </w:tcPr>
          <w:p>
            <w:pPr>
              <w:pStyle w:val="TableContents"/>
              <w:bidi w:val="0"/>
              <w:spacing w:before="0" w:after="283"/>
              <w:jc w:val="left"/>
              <w:rPr/>
            </w:pPr>
            <w:hyperlink w:anchor="s_007">
              <w:r>
                <w:rPr>
                  <w:rStyle w:val="InternetLink"/>
                  <w:rFonts w:ascii="Times New Roman;Times;Serif" w:hAnsi="Times New Roman;Times;Serif"/>
                  <w:sz w:val="20"/>
                  <w:u w:val="single"/>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S-6</w:t>
            </w:r>
          </w:p>
        </w:tc>
      </w:tr>
      <w:tr>
        <w:trPr/>
        <w:tc>
          <w:tcPr>
            <w:tcW w:w="4685" w:type="dxa"/>
            <w:tcBorders/>
            <w:shd w:fill="FFFFFF" w:val="clear"/>
            <w:vAlign w:val="center"/>
          </w:tcPr>
          <w:p>
            <w:pPr>
              <w:pStyle w:val="TableContents"/>
              <w:bidi w:val="0"/>
              <w:spacing w:before="0" w:after="283"/>
              <w:jc w:val="left"/>
              <w:rPr/>
            </w:pPr>
            <w:hyperlink w:anchor="s_008">
              <w:r>
                <w:rPr>
                  <w:rStyle w:val="InternetLink"/>
                  <w:rFonts w:ascii="Times New Roman;Times;Serif" w:hAnsi="Times New Roman;Times;Serif"/>
                  <w:sz w:val="20"/>
                  <w:u w:val="single"/>
                </w:rPr>
                <w:t>Description of Securities That We Are Offering</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S-7</w:t>
            </w:r>
          </w:p>
        </w:tc>
      </w:tr>
      <w:tr>
        <w:trPr/>
        <w:tc>
          <w:tcPr>
            <w:tcW w:w="4685" w:type="dxa"/>
            <w:tcBorders/>
            <w:shd w:fill="CCEEFF" w:val="clear"/>
            <w:vAlign w:val="center"/>
          </w:tcPr>
          <w:p>
            <w:pPr>
              <w:pStyle w:val="TableContents"/>
              <w:bidi w:val="0"/>
              <w:spacing w:before="0" w:after="283"/>
              <w:jc w:val="left"/>
              <w:rPr/>
            </w:pPr>
            <w:hyperlink w:anchor="s_009">
              <w:r>
                <w:rPr>
                  <w:rStyle w:val="InternetLink"/>
                  <w:rFonts w:ascii="Times New Roman;Times;Serif" w:hAnsi="Times New Roman;Times;Serif"/>
                  <w:sz w:val="20"/>
                  <w:u w:val="single"/>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S-9</w:t>
            </w:r>
          </w:p>
        </w:tc>
      </w:tr>
      <w:tr>
        <w:trPr/>
        <w:tc>
          <w:tcPr>
            <w:tcW w:w="4685" w:type="dxa"/>
            <w:tcBorders/>
            <w:shd w:fill="FFFFFF" w:val="clear"/>
            <w:vAlign w:val="center"/>
          </w:tcPr>
          <w:p>
            <w:pPr>
              <w:pStyle w:val="TableContents"/>
              <w:bidi w:val="0"/>
              <w:spacing w:before="0" w:after="283"/>
              <w:jc w:val="left"/>
              <w:rPr/>
            </w:pPr>
            <w:hyperlink w:anchor="s_010">
              <w:r>
                <w:rPr>
                  <w:rStyle w:val="InternetLink"/>
                  <w:rFonts w:ascii="Times New Roman;Times;Serif" w:hAnsi="Times New Roman;Times;Serif"/>
                  <w:sz w:val="20"/>
                  <w:u w:val="single"/>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S-11</w:t>
            </w:r>
          </w:p>
        </w:tc>
      </w:tr>
      <w:tr>
        <w:trPr/>
        <w:tc>
          <w:tcPr>
            <w:tcW w:w="4685" w:type="dxa"/>
            <w:tcBorders/>
            <w:shd w:fill="CCEEFF" w:val="clear"/>
            <w:vAlign w:val="center"/>
          </w:tcPr>
          <w:p>
            <w:pPr>
              <w:pStyle w:val="TableContents"/>
              <w:bidi w:val="0"/>
              <w:spacing w:before="0" w:after="283"/>
              <w:jc w:val="left"/>
              <w:rPr/>
            </w:pPr>
            <w:hyperlink w:anchor="s_011">
              <w:r>
                <w:rPr>
                  <w:rStyle w:val="InternetLink"/>
                  <w:rFonts w:ascii="Times New Roman;Times;Serif" w:hAnsi="Times New Roman;Times;Serif"/>
                  <w:sz w:val="20"/>
                  <w:u w:val="single"/>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S-11</w:t>
            </w:r>
          </w:p>
        </w:tc>
      </w:tr>
      <w:tr>
        <w:trPr/>
        <w:tc>
          <w:tcPr>
            <w:tcW w:w="4685" w:type="dxa"/>
            <w:tcBorders/>
            <w:shd w:fill="FFFFFF" w:val="clear"/>
            <w:vAlign w:val="center"/>
          </w:tcPr>
          <w:p>
            <w:pPr>
              <w:pStyle w:val="TableContents"/>
              <w:bidi w:val="0"/>
              <w:spacing w:before="0" w:after="283"/>
              <w:jc w:val="left"/>
              <w:rPr/>
            </w:pPr>
            <w:hyperlink w:anchor="s_012">
              <w:r>
                <w:rPr>
                  <w:rStyle w:val="InternetLink"/>
                  <w:rFonts w:ascii="Times New Roman;Times;Serif" w:hAnsi="Times New Roman;Times;Serif"/>
                  <w:sz w:val="20"/>
                  <w:u w:val="single"/>
                </w:rPr>
                <w:t>Incorporation of Documents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r>
        <w:trPr/>
        <w:tc>
          <w:tcPr>
            <w:tcW w:w="4685" w:type="dxa"/>
            <w:tcBorders/>
            <w:shd w:fill="CCEEFF" w:val="clear"/>
            <w:vAlign w:val="center"/>
          </w:tcPr>
          <w:p>
            <w:pPr>
              <w:pStyle w:val="TableContents"/>
              <w:bidi w:val="0"/>
              <w:spacing w:before="0" w:after="283"/>
              <w:jc w:val="left"/>
              <w:rPr/>
            </w:pPr>
            <w:hyperlink w:anchor="s_013">
              <w:r>
                <w:rPr>
                  <w:rStyle w:val="InternetLink"/>
                  <w:rFonts w:ascii="Times New Roman;Times;Serif" w:hAnsi="Times New Roman;Times;Serif"/>
                  <w:sz w:val="20"/>
                  <w:u w:val="single"/>
                </w:rPr>
                <w:t>Where You Can Find Additional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5495"/>
        <w:gridCol w:w="530"/>
      </w:tblGrid>
      <w:tr>
        <w:trPr/>
        <w:tc>
          <w:tcPr>
            <w:tcW w:w="5495"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549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5495" w:type="dxa"/>
            <w:tcBorders/>
            <w:shd w:fill="FFFFFF" w:val="clear"/>
            <w:vAlign w:val="center"/>
          </w:tcPr>
          <w:p>
            <w:pPr>
              <w:pStyle w:val="TableContents"/>
              <w:bidi w:val="0"/>
              <w:spacing w:before="0" w:after="283"/>
              <w:jc w:val="left"/>
              <w:rPr/>
            </w:pPr>
            <w:hyperlink w:anchor="a_002">
              <w:r>
                <w:rPr>
                  <w:rStyle w:val="InternetLink"/>
                </w:rPr>
                <w:t>Commonly Used Defined Terms</w:t>
              </w:r>
            </w:hyperlink>
          </w:p>
        </w:tc>
        <w:tc>
          <w:tcPr>
            <w:tcW w:w="530" w:type="dxa"/>
            <w:tcBorders/>
            <w:shd w:fill="FFFFFF" w:val="clear"/>
            <w:vAlign w:val="center"/>
          </w:tcPr>
          <w:p>
            <w:pPr>
              <w:pStyle w:val="TableContents"/>
              <w:bidi w:val="0"/>
              <w:spacing w:before="0" w:after="283"/>
              <w:jc w:val="center"/>
              <w:rPr/>
            </w:pPr>
            <w:r>
              <w:rPr/>
              <w:t>iii</w:t>
            </w:r>
          </w:p>
        </w:tc>
      </w:tr>
      <w:tr>
        <w:trPr/>
        <w:tc>
          <w:tcPr>
            <w:tcW w:w="5495" w:type="dxa"/>
            <w:tcBorders/>
            <w:shd w:fill="CCEEFF" w:val="clear"/>
            <w:vAlign w:val="center"/>
          </w:tcPr>
          <w:p>
            <w:pPr>
              <w:pStyle w:val="TableContents"/>
              <w:bidi w:val="0"/>
              <w:spacing w:before="0" w:after="283"/>
              <w:jc w:val="left"/>
              <w:rPr/>
            </w:pPr>
            <w:hyperlink w:anchor="a_003">
              <w:r>
                <w:rPr>
                  <w:rStyle w:val="InternetLink"/>
                </w:rPr>
                <w:t>Cautionary Note Regarding Forward-Looking Statements</w:t>
              </w:r>
            </w:hyperlink>
          </w:p>
        </w:tc>
        <w:tc>
          <w:tcPr>
            <w:tcW w:w="530" w:type="dxa"/>
            <w:tcBorders/>
            <w:shd w:fill="CCEEFF" w:val="clear"/>
            <w:vAlign w:val="center"/>
          </w:tcPr>
          <w:p>
            <w:pPr>
              <w:pStyle w:val="TableContents"/>
              <w:bidi w:val="0"/>
              <w:spacing w:before="0" w:after="283"/>
              <w:jc w:val="center"/>
              <w:rPr/>
            </w:pPr>
            <w:r>
              <w:rPr/>
              <w:t>iv</w:t>
            </w:r>
          </w:p>
        </w:tc>
      </w:tr>
      <w:tr>
        <w:trPr/>
        <w:tc>
          <w:tcPr>
            <w:tcW w:w="5495" w:type="dxa"/>
            <w:tcBorders/>
            <w:shd w:fill="FFFFFF" w:val="clear"/>
            <w:vAlign w:val="center"/>
          </w:tcPr>
          <w:p>
            <w:pPr>
              <w:pStyle w:val="TableContents"/>
              <w:bidi w:val="0"/>
              <w:spacing w:before="0" w:after="283"/>
              <w:jc w:val="left"/>
              <w:rPr/>
            </w:pPr>
            <w:hyperlink w:anchor="a_004">
              <w:r>
                <w:rPr>
                  <w:rStyle w:val="InternetLink"/>
                </w:rPr>
                <w:t>Prospectus Summary</w:t>
              </w:r>
            </w:hyperlink>
          </w:p>
        </w:tc>
        <w:tc>
          <w:tcPr>
            <w:tcW w:w="530" w:type="dxa"/>
            <w:tcBorders/>
            <w:shd w:fill="FFFFFF" w:val="clear"/>
            <w:vAlign w:val="center"/>
          </w:tcPr>
          <w:p>
            <w:pPr>
              <w:pStyle w:val="TableContents"/>
              <w:bidi w:val="0"/>
              <w:spacing w:before="0" w:after="283"/>
              <w:jc w:val="center"/>
              <w:rPr/>
            </w:pPr>
            <w:r>
              <w:rPr/>
              <w:t>1</w:t>
            </w:r>
          </w:p>
        </w:tc>
      </w:tr>
      <w:tr>
        <w:trPr/>
        <w:tc>
          <w:tcPr>
            <w:tcW w:w="5495"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530" w:type="dxa"/>
            <w:tcBorders/>
            <w:shd w:fill="CCEEFF" w:val="clear"/>
            <w:vAlign w:val="center"/>
          </w:tcPr>
          <w:p>
            <w:pPr>
              <w:pStyle w:val="TableContents"/>
              <w:bidi w:val="0"/>
              <w:spacing w:before="0" w:after="283"/>
              <w:jc w:val="center"/>
              <w:rPr/>
            </w:pPr>
            <w:r>
              <w:rPr/>
              <w:t>11</w:t>
            </w:r>
          </w:p>
        </w:tc>
      </w:tr>
      <w:tr>
        <w:trPr/>
        <w:tc>
          <w:tcPr>
            <w:tcW w:w="5495" w:type="dxa"/>
            <w:tcBorders/>
            <w:shd w:fill="FFFFFF" w:val="clear"/>
            <w:vAlign w:val="center"/>
          </w:tcPr>
          <w:p>
            <w:pPr>
              <w:pStyle w:val="TableContents"/>
              <w:bidi w:val="0"/>
              <w:spacing w:before="0" w:after="283"/>
              <w:jc w:val="left"/>
              <w:rPr/>
            </w:pPr>
            <w:hyperlink w:anchor="a_006">
              <w:r>
                <w:rPr>
                  <w:rStyle w:val="InternetLink"/>
                </w:rPr>
                <w:t>Offer Statistics and Expected Timetable</w:t>
              </w:r>
            </w:hyperlink>
          </w:p>
        </w:tc>
        <w:tc>
          <w:tcPr>
            <w:tcW w:w="530" w:type="dxa"/>
            <w:tcBorders/>
            <w:shd w:fill="FFFFFF" w:val="clear"/>
            <w:vAlign w:val="center"/>
          </w:tcPr>
          <w:p>
            <w:pPr>
              <w:pStyle w:val="TableContents"/>
              <w:bidi w:val="0"/>
              <w:spacing w:before="0" w:after="283"/>
              <w:jc w:val="center"/>
              <w:rPr/>
            </w:pPr>
            <w:r>
              <w:rPr/>
              <w:t>12</w:t>
            </w:r>
          </w:p>
        </w:tc>
      </w:tr>
      <w:tr>
        <w:trPr/>
        <w:tc>
          <w:tcPr>
            <w:tcW w:w="5495" w:type="dxa"/>
            <w:tcBorders/>
            <w:shd w:fill="CCEEFF" w:val="clear"/>
            <w:vAlign w:val="center"/>
          </w:tcPr>
          <w:p>
            <w:pPr>
              <w:pStyle w:val="TableContents"/>
              <w:bidi w:val="0"/>
              <w:spacing w:before="0" w:after="283"/>
              <w:jc w:val="left"/>
              <w:rPr/>
            </w:pPr>
            <w:hyperlink w:anchor="a_007">
              <w:r>
                <w:rPr>
                  <w:rStyle w:val="InternetLink"/>
                </w:rPr>
                <w:t>Capitalization and Indebtedness</w:t>
              </w:r>
            </w:hyperlink>
          </w:p>
        </w:tc>
        <w:tc>
          <w:tcPr>
            <w:tcW w:w="530" w:type="dxa"/>
            <w:tcBorders/>
            <w:shd w:fill="CCEEFF" w:val="clear"/>
            <w:vAlign w:val="center"/>
          </w:tcPr>
          <w:p>
            <w:pPr>
              <w:pStyle w:val="TableContents"/>
              <w:bidi w:val="0"/>
              <w:spacing w:before="0" w:after="283"/>
              <w:jc w:val="center"/>
              <w:rPr/>
            </w:pPr>
            <w:r>
              <w:rPr/>
              <w:t>12</w:t>
            </w:r>
          </w:p>
        </w:tc>
      </w:tr>
      <w:tr>
        <w:trPr/>
        <w:tc>
          <w:tcPr>
            <w:tcW w:w="5495" w:type="dxa"/>
            <w:tcBorders/>
            <w:shd w:fill="FFFFFF" w:val="clear"/>
            <w:vAlign w:val="center"/>
          </w:tcPr>
          <w:p>
            <w:pPr>
              <w:pStyle w:val="TableContents"/>
              <w:bidi w:val="0"/>
              <w:spacing w:before="0" w:after="283"/>
              <w:jc w:val="left"/>
              <w:rPr/>
            </w:pPr>
            <w:hyperlink w:anchor="a_008">
              <w:r>
                <w:rPr>
                  <w:rStyle w:val="InternetLink"/>
                </w:rPr>
                <w:t>Dilution</w:t>
              </w:r>
            </w:hyperlink>
          </w:p>
        </w:tc>
        <w:tc>
          <w:tcPr>
            <w:tcW w:w="530" w:type="dxa"/>
            <w:tcBorders/>
            <w:shd w:fill="FFFFFF" w:val="clear"/>
            <w:vAlign w:val="center"/>
          </w:tcPr>
          <w:p>
            <w:pPr>
              <w:pStyle w:val="TableContents"/>
              <w:bidi w:val="0"/>
              <w:spacing w:before="0" w:after="283"/>
              <w:jc w:val="center"/>
              <w:rPr/>
            </w:pPr>
            <w:r>
              <w:rPr/>
              <w:t>12</w:t>
            </w:r>
          </w:p>
        </w:tc>
      </w:tr>
      <w:tr>
        <w:trPr/>
        <w:tc>
          <w:tcPr>
            <w:tcW w:w="5495" w:type="dxa"/>
            <w:tcBorders/>
            <w:shd w:fill="CCEEFF" w:val="clear"/>
            <w:vAlign w:val="center"/>
          </w:tcPr>
          <w:p>
            <w:pPr>
              <w:pStyle w:val="TableContents"/>
              <w:bidi w:val="0"/>
              <w:spacing w:before="0" w:after="283"/>
              <w:jc w:val="left"/>
              <w:rPr/>
            </w:pPr>
            <w:hyperlink w:anchor="a_009">
              <w:r>
                <w:rPr>
                  <w:rStyle w:val="InternetLink"/>
                </w:rPr>
                <w:t>Use of Proceeds</w:t>
              </w:r>
            </w:hyperlink>
          </w:p>
        </w:tc>
        <w:tc>
          <w:tcPr>
            <w:tcW w:w="530" w:type="dxa"/>
            <w:tcBorders/>
            <w:shd w:fill="CCEEFF" w:val="clear"/>
            <w:vAlign w:val="center"/>
          </w:tcPr>
          <w:p>
            <w:pPr>
              <w:pStyle w:val="TableContents"/>
              <w:bidi w:val="0"/>
              <w:spacing w:before="0" w:after="283"/>
              <w:jc w:val="center"/>
              <w:rPr/>
            </w:pPr>
            <w:r>
              <w:rPr/>
              <w:t>12</w:t>
            </w:r>
          </w:p>
        </w:tc>
      </w:tr>
      <w:tr>
        <w:trPr/>
        <w:tc>
          <w:tcPr>
            <w:tcW w:w="5495" w:type="dxa"/>
            <w:tcBorders/>
            <w:shd w:fill="FFFFFF" w:val="clear"/>
            <w:vAlign w:val="center"/>
          </w:tcPr>
          <w:p>
            <w:pPr>
              <w:pStyle w:val="TableContents"/>
              <w:bidi w:val="0"/>
              <w:spacing w:before="0" w:after="283"/>
              <w:jc w:val="left"/>
              <w:rPr/>
            </w:pPr>
            <w:hyperlink w:anchor="a_010">
              <w:r>
                <w:rPr>
                  <w:rStyle w:val="InternetLink"/>
                </w:rPr>
                <w:t>Description of Share Capital</w:t>
              </w:r>
            </w:hyperlink>
          </w:p>
        </w:tc>
        <w:tc>
          <w:tcPr>
            <w:tcW w:w="530" w:type="dxa"/>
            <w:tcBorders/>
            <w:shd w:fill="FFFFFF" w:val="clear"/>
            <w:vAlign w:val="center"/>
          </w:tcPr>
          <w:p>
            <w:pPr>
              <w:pStyle w:val="TableContents"/>
              <w:bidi w:val="0"/>
              <w:spacing w:before="0" w:after="283"/>
              <w:jc w:val="center"/>
              <w:rPr/>
            </w:pPr>
            <w:r>
              <w:rPr/>
              <w:t>13</w:t>
            </w:r>
          </w:p>
        </w:tc>
      </w:tr>
      <w:tr>
        <w:trPr/>
        <w:tc>
          <w:tcPr>
            <w:tcW w:w="5495" w:type="dxa"/>
            <w:tcBorders/>
            <w:shd w:fill="CCEEFF" w:val="clear"/>
            <w:vAlign w:val="center"/>
          </w:tcPr>
          <w:p>
            <w:pPr>
              <w:pStyle w:val="TableContents"/>
              <w:bidi w:val="0"/>
              <w:spacing w:before="0" w:after="283"/>
              <w:jc w:val="left"/>
              <w:rPr/>
            </w:pPr>
            <w:hyperlink w:anchor="a_011">
              <w:r>
                <w:rPr>
                  <w:rStyle w:val="InternetLink"/>
                </w:rPr>
                <w:t>Description of Debt Securities</w:t>
              </w:r>
            </w:hyperlink>
          </w:p>
        </w:tc>
        <w:tc>
          <w:tcPr>
            <w:tcW w:w="530" w:type="dxa"/>
            <w:tcBorders/>
            <w:shd w:fill="CCEEFF" w:val="clear"/>
            <w:vAlign w:val="center"/>
          </w:tcPr>
          <w:p>
            <w:pPr>
              <w:pStyle w:val="TableContents"/>
              <w:bidi w:val="0"/>
              <w:spacing w:before="0" w:after="283"/>
              <w:jc w:val="center"/>
              <w:rPr/>
            </w:pPr>
            <w:r>
              <w:rPr/>
              <w:t>14</w:t>
            </w:r>
          </w:p>
        </w:tc>
      </w:tr>
      <w:tr>
        <w:trPr/>
        <w:tc>
          <w:tcPr>
            <w:tcW w:w="5495" w:type="dxa"/>
            <w:tcBorders/>
            <w:shd w:fill="FFFFFF" w:val="clear"/>
            <w:vAlign w:val="center"/>
          </w:tcPr>
          <w:p>
            <w:pPr>
              <w:pStyle w:val="TableContents"/>
              <w:bidi w:val="0"/>
              <w:spacing w:before="0" w:after="283"/>
              <w:jc w:val="left"/>
              <w:rPr/>
            </w:pPr>
            <w:hyperlink w:anchor="a_012">
              <w:r>
                <w:rPr>
                  <w:rStyle w:val="InternetLink"/>
                </w:rPr>
                <w:t>Description of Warrants</w:t>
              </w:r>
            </w:hyperlink>
          </w:p>
        </w:tc>
        <w:tc>
          <w:tcPr>
            <w:tcW w:w="530" w:type="dxa"/>
            <w:tcBorders/>
            <w:shd w:fill="FFFFFF" w:val="clear"/>
            <w:vAlign w:val="center"/>
          </w:tcPr>
          <w:p>
            <w:pPr>
              <w:pStyle w:val="TableContents"/>
              <w:bidi w:val="0"/>
              <w:spacing w:before="0" w:after="283"/>
              <w:jc w:val="center"/>
              <w:rPr/>
            </w:pPr>
            <w:r>
              <w:rPr/>
              <w:t>15</w:t>
            </w:r>
          </w:p>
        </w:tc>
      </w:tr>
      <w:tr>
        <w:trPr/>
        <w:tc>
          <w:tcPr>
            <w:tcW w:w="5495" w:type="dxa"/>
            <w:tcBorders/>
            <w:shd w:fill="CCEEFF" w:val="clear"/>
            <w:vAlign w:val="center"/>
          </w:tcPr>
          <w:p>
            <w:pPr>
              <w:pStyle w:val="TableContents"/>
              <w:bidi w:val="0"/>
              <w:spacing w:before="0" w:after="283"/>
              <w:jc w:val="left"/>
              <w:rPr/>
            </w:pPr>
            <w:hyperlink w:anchor="a_013">
              <w:r>
                <w:rPr>
                  <w:rStyle w:val="InternetLink"/>
                </w:rPr>
                <w:t>Description of Rights</w:t>
              </w:r>
            </w:hyperlink>
          </w:p>
        </w:tc>
        <w:tc>
          <w:tcPr>
            <w:tcW w:w="530" w:type="dxa"/>
            <w:tcBorders/>
            <w:shd w:fill="CCEEFF" w:val="clear"/>
            <w:vAlign w:val="center"/>
          </w:tcPr>
          <w:p>
            <w:pPr>
              <w:pStyle w:val="TableContents"/>
              <w:bidi w:val="0"/>
              <w:spacing w:before="0" w:after="283"/>
              <w:jc w:val="center"/>
              <w:rPr/>
            </w:pPr>
            <w:r>
              <w:rPr/>
              <w:t>17</w:t>
            </w:r>
          </w:p>
        </w:tc>
      </w:tr>
      <w:tr>
        <w:trPr/>
        <w:tc>
          <w:tcPr>
            <w:tcW w:w="5495" w:type="dxa"/>
            <w:tcBorders/>
            <w:shd w:fill="FFFFFF" w:val="clear"/>
            <w:vAlign w:val="center"/>
          </w:tcPr>
          <w:p>
            <w:pPr>
              <w:pStyle w:val="TableContents"/>
              <w:bidi w:val="0"/>
              <w:spacing w:before="0" w:after="283"/>
              <w:jc w:val="left"/>
              <w:rPr/>
            </w:pPr>
            <w:hyperlink w:anchor="a_014">
              <w:r>
                <w:rPr>
                  <w:rStyle w:val="InternetLink"/>
                </w:rPr>
                <w:t>Description of Units</w:t>
              </w:r>
            </w:hyperlink>
          </w:p>
        </w:tc>
        <w:tc>
          <w:tcPr>
            <w:tcW w:w="530" w:type="dxa"/>
            <w:tcBorders/>
            <w:shd w:fill="FFFFFF" w:val="clear"/>
            <w:vAlign w:val="center"/>
          </w:tcPr>
          <w:p>
            <w:pPr>
              <w:pStyle w:val="TableContents"/>
              <w:bidi w:val="0"/>
              <w:spacing w:before="0" w:after="283"/>
              <w:jc w:val="center"/>
              <w:rPr/>
            </w:pPr>
            <w:r>
              <w:rPr/>
              <w:t>18</w:t>
            </w:r>
          </w:p>
        </w:tc>
      </w:tr>
      <w:tr>
        <w:trPr/>
        <w:tc>
          <w:tcPr>
            <w:tcW w:w="5495" w:type="dxa"/>
            <w:tcBorders/>
            <w:shd w:fill="CCEEFF" w:val="clear"/>
            <w:vAlign w:val="center"/>
          </w:tcPr>
          <w:p>
            <w:pPr>
              <w:pStyle w:val="TableContents"/>
              <w:bidi w:val="0"/>
              <w:spacing w:before="0" w:after="283"/>
              <w:jc w:val="left"/>
              <w:rPr/>
            </w:pPr>
            <w:hyperlink w:anchor="a_015">
              <w:r>
                <w:rPr>
                  <w:rStyle w:val="InternetLink"/>
                </w:rPr>
                <w:t>Plan of Distribution</w:t>
              </w:r>
            </w:hyperlink>
          </w:p>
        </w:tc>
        <w:tc>
          <w:tcPr>
            <w:tcW w:w="530" w:type="dxa"/>
            <w:tcBorders/>
            <w:shd w:fill="CCEEFF" w:val="clear"/>
            <w:vAlign w:val="center"/>
          </w:tcPr>
          <w:p>
            <w:pPr>
              <w:pStyle w:val="TableContents"/>
              <w:bidi w:val="0"/>
              <w:spacing w:before="0" w:after="283"/>
              <w:jc w:val="center"/>
              <w:rPr/>
            </w:pPr>
            <w:r>
              <w:rPr/>
              <w:t>19</w:t>
            </w:r>
          </w:p>
        </w:tc>
      </w:tr>
      <w:tr>
        <w:trPr/>
        <w:tc>
          <w:tcPr>
            <w:tcW w:w="5495" w:type="dxa"/>
            <w:tcBorders/>
            <w:shd w:fill="FFFFFF" w:val="clear"/>
            <w:vAlign w:val="center"/>
          </w:tcPr>
          <w:p>
            <w:pPr>
              <w:pStyle w:val="TableContents"/>
              <w:bidi w:val="0"/>
              <w:spacing w:before="0" w:after="283"/>
              <w:jc w:val="left"/>
              <w:rPr/>
            </w:pPr>
            <w:hyperlink w:anchor="a_016">
              <w:r>
                <w:rPr>
                  <w:rStyle w:val="InternetLink"/>
                </w:rPr>
                <w:t>Taxation</w:t>
              </w:r>
            </w:hyperlink>
          </w:p>
        </w:tc>
        <w:tc>
          <w:tcPr>
            <w:tcW w:w="530" w:type="dxa"/>
            <w:tcBorders/>
            <w:shd w:fill="FFFFFF" w:val="clear"/>
            <w:vAlign w:val="center"/>
          </w:tcPr>
          <w:p>
            <w:pPr>
              <w:pStyle w:val="TableContents"/>
              <w:bidi w:val="0"/>
              <w:spacing w:before="0" w:after="283"/>
              <w:jc w:val="center"/>
              <w:rPr/>
            </w:pPr>
            <w:r>
              <w:rPr/>
              <w:t>21</w:t>
            </w:r>
          </w:p>
        </w:tc>
      </w:tr>
      <w:tr>
        <w:trPr/>
        <w:tc>
          <w:tcPr>
            <w:tcW w:w="5495" w:type="dxa"/>
            <w:tcBorders/>
            <w:shd w:fill="CCEEFF" w:val="clear"/>
            <w:vAlign w:val="center"/>
          </w:tcPr>
          <w:p>
            <w:pPr>
              <w:pStyle w:val="TableContents"/>
              <w:bidi w:val="0"/>
              <w:spacing w:before="0" w:after="283"/>
              <w:jc w:val="left"/>
              <w:rPr/>
            </w:pPr>
            <w:hyperlink w:anchor="a_017">
              <w:r>
                <w:rPr>
                  <w:rStyle w:val="InternetLink"/>
                </w:rPr>
                <w:t>Expenses</w:t>
              </w:r>
            </w:hyperlink>
          </w:p>
        </w:tc>
        <w:tc>
          <w:tcPr>
            <w:tcW w:w="530" w:type="dxa"/>
            <w:tcBorders/>
            <w:shd w:fill="CCEEFF" w:val="clear"/>
            <w:vAlign w:val="center"/>
          </w:tcPr>
          <w:p>
            <w:pPr>
              <w:pStyle w:val="TableContents"/>
              <w:bidi w:val="0"/>
              <w:spacing w:before="0" w:after="283"/>
              <w:jc w:val="center"/>
              <w:rPr/>
            </w:pPr>
            <w:r>
              <w:rPr/>
              <w:t>21</w:t>
            </w:r>
          </w:p>
        </w:tc>
      </w:tr>
      <w:tr>
        <w:trPr/>
        <w:tc>
          <w:tcPr>
            <w:tcW w:w="5495" w:type="dxa"/>
            <w:tcBorders/>
            <w:shd w:fill="FFFFFF" w:val="clear"/>
            <w:vAlign w:val="center"/>
          </w:tcPr>
          <w:p>
            <w:pPr>
              <w:pStyle w:val="TableContents"/>
              <w:bidi w:val="0"/>
              <w:spacing w:before="0" w:after="283"/>
              <w:jc w:val="left"/>
              <w:rPr/>
            </w:pPr>
            <w:hyperlink w:anchor="a_018">
              <w:r>
                <w:rPr>
                  <w:rStyle w:val="InternetLink"/>
                </w:rPr>
                <w:t>Material Contracts</w:t>
              </w:r>
            </w:hyperlink>
          </w:p>
        </w:tc>
        <w:tc>
          <w:tcPr>
            <w:tcW w:w="530" w:type="dxa"/>
            <w:tcBorders/>
            <w:shd w:fill="FFFFFF" w:val="clear"/>
            <w:vAlign w:val="center"/>
          </w:tcPr>
          <w:p>
            <w:pPr>
              <w:pStyle w:val="TableContents"/>
              <w:bidi w:val="0"/>
              <w:spacing w:before="0" w:after="283"/>
              <w:jc w:val="center"/>
              <w:rPr/>
            </w:pPr>
            <w:r>
              <w:rPr/>
              <w:t>22</w:t>
            </w:r>
          </w:p>
        </w:tc>
      </w:tr>
      <w:tr>
        <w:trPr/>
        <w:tc>
          <w:tcPr>
            <w:tcW w:w="5495" w:type="dxa"/>
            <w:tcBorders/>
            <w:shd w:fill="CCEEFF" w:val="clear"/>
            <w:vAlign w:val="center"/>
          </w:tcPr>
          <w:p>
            <w:pPr>
              <w:pStyle w:val="TableContents"/>
              <w:bidi w:val="0"/>
              <w:spacing w:before="0" w:after="283"/>
              <w:jc w:val="left"/>
              <w:rPr/>
            </w:pPr>
            <w:hyperlink w:anchor="a_019">
              <w:r>
                <w:rPr>
                  <w:rStyle w:val="InternetLink"/>
                </w:rPr>
                <w:t>Material Changes</w:t>
              </w:r>
            </w:hyperlink>
          </w:p>
        </w:tc>
        <w:tc>
          <w:tcPr>
            <w:tcW w:w="530" w:type="dxa"/>
            <w:tcBorders/>
            <w:shd w:fill="CCEEFF" w:val="clear"/>
            <w:vAlign w:val="center"/>
          </w:tcPr>
          <w:p>
            <w:pPr>
              <w:pStyle w:val="TableContents"/>
              <w:bidi w:val="0"/>
              <w:spacing w:before="0" w:after="283"/>
              <w:jc w:val="center"/>
              <w:rPr/>
            </w:pPr>
            <w:r>
              <w:rPr/>
              <w:t>22</w:t>
            </w:r>
          </w:p>
        </w:tc>
      </w:tr>
      <w:tr>
        <w:trPr/>
        <w:tc>
          <w:tcPr>
            <w:tcW w:w="5495" w:type="dxa"/>
            <w:tcBorders/>
            <w:shd w:fill="FFFFFF" w:val="clear"/>
            <w:vAlign w:val="center"/>
          </w:tcPr>
          <w:p>
            <w:pPr>
              <w:pStyle w:val="TableContents"/>
              <w:bidi w:val="0"/>
              <w:spacing w:before="0" w:after="283"/>
              <w:jc w:val="left"/>
              <w:rPr/>
            </w:pPr>
            <w:hyperlink w:anchor="a_020">
              <w:r>
                <w:rPr>
                  <w:rStyle w:val="InternetLink"/>
                </w:rPr>
                <w:t>Legal Matters</w:t>
              </w:r>
            </w:hyperlink>
          </w:p>
        </w:tc>
        <w:tc>
          <w:tcPr>
            <w:tcW w:w="530" w:type="dxa"/>
            <w:tcBorders/>
            <w:shd w:fill="FFFFFF" w:val="clear"/>
            <w:vAlign w:val="center"/>
          </w:tcPr>
          <w:p>
            <w:pPr>
              <w:pStyle w:val="TableContents"/>
              <w:bidi w:val="0"/>
              <w:spacing w:before="0" w:after="283"/>
              <w:jc w:val="center"/>
              <w:rPr/>
            </w:pPr>
            <w:r>
              <w:rPr/>
              <w:t>22</w:t>
            </w:r>
          </w:p>
        </w:tc>
      </w:tr>
      <w:tr>
        <w:trPr/>
        <w:tc>
          <w:tcPr>
            <w:tcW w:w="5495" w:type="dxa"/>
            <w:tcBorders/>
            <w:shd w:fill="CCEEFF" w:val="clear"/>
            <w:vAlign w:val="center"/>
          </w:tcPr>
          <w:p>
            <w:pPr>
              <w:pStyle w:val="TableContents"/>
              <w:bidi w:val="0"/>
              <w:spacing w:before="0" w:after="283"/>
              <w:jc w:val="left"/>
              <w:rPr/>
            </w:pPr>
            <w:hyperlink w:anchor="a_021">
              <w:r>
                <w:rPr>
                  <w:rStyle w:val="InternetLink"/>
                </w:rPr>
                <w:t>Experts</w:t>
              </w:r>
            </w:hyperlink>
          </w:p>
        </w:tc>
        <w:tc>
          <w:tcPr>
            <w:tcW w:w="530" w:type="dxa"/>
            <w:tcBorders/>
            <w:shd w:fill="CCEEFF" w:val="clear"/>
            <w:vAlign w:val="center"/>
          </w:tcPr>
          <w:p>
            <w:pPr>
              <w:pStyle w:val="TableContents"/>
              <w:bidi w:val="0"/>
              <w:spacing w:before="0" w:after="283"/>
              <w:jc w:val="center"/>
              <w:rPr/>
            </w:pPr>
            <w:r>
              <w:rPr/>
              <w:t>22</w:t>
            </w:r>
          </w:p>
        </w:tc>
      </w:tr>
      <w:tr>
        <w:trPr/>
        <w:tc>
          <w:tcPr>
            <w:tcW w:w="5495" w:type="dxa"/>
            <w:tcBorders/>
            <w:shd w:fill="FFFFFF" w:val="clear"/>
            <w:vAlign w:val="center"/>
          </w:tcPr>
          <w:p>
            <w:pPr>
              <w:pStyle w:val="TableContents"/>
              <w:bidi w:val="0"/>
              <w:spacing w:before="0" w:after="283"/>
              <w:jc w:val="left"/>
              <w:rPr/>
            </w:pPr>
            <w:hyperlink w:anchor="a_022">
              <w:r>
                <w:rPr>
                  <w:rStyle w:val="InternetLink"/>
                </w:rPr>
                <w:t>Incorporation of Documents by Reference</w:t>
              </w:r>
            </w:hyperlink>
          </w:p>
        </w:tc>
        <w:tc>
          <w:tcPr>
            <w:tcW w:w="530" w:type="dxa"/>
            <w:tcBorders/>
            <w:shd w:fill="FFFFFF" w:val="clear"/>
            <w:vAlign w:val="center"/>
          </w:tcPr>
          <w:p>
            <w:pPr>
              <w:pStyle w:val="TableContents"/>
              <w:bidi w:val="0"/>
              <w:spacing w:before="0" w:after="283"/>
              <w:jc w:val="center"/>
              <w:rPr/>
            </w:pPr>
            <w:r>
              <w:rPr/>
              <w:t>23</w:t>
            </w:r>
          </w:p>
        </w:tc>
      </w:tr>
      <w:tr>
        <w:trPr/>
        <w:tc>
          <w:tcPr>
            <w:tcW w:w="5495" w:type="dxa"/>
            <w:tcBorders/>
            <w:shd w:fill="CCEEFF" w:val="clear"/>
            <w:vAlign w:val="center"/>
          </w:tcPr>
          <w:p>
            <w:pPr>
              <w:pStyle w:val="TableContents"/>
              <w:bidi w:val="0"/>
              <w:spacing w:before="0" w:after="283"/>
              <w:jc w:val="left"/>
              <w:rPr/>
            </w:pPr>
            <w:hyperlink w:anchor="a_023">
              <w:r>
                <w:rPr>
                  <w:rStyle w:val="InternetLink"/>
                </w:rPr>
                <w:t>Where You Can Find Additional Information</w:t>
              </w:r>
            </w:hyperlink>
          </w:p>
        </w:tc>
        <w:tc>
          <w:tcPr>
            <w:tcW w:w="530" w:type="dxa"/>
            <w:tcBorders/>
            <w:shd w:fill="CCEEFF" w:val="clear"/>
            <w:vAlign w:val="center"/>
          </w:tcPr>
          <w:p>
            <w:pPr>
              <w:pStyle w:val="TableContents"/>
              <w:bidi w:val="0"/>
              <w:spacing w:before="0" w:after="283"/>
              <w:jc w:val="center"/>
              <w:rPr/>
            </w:pPr>
            <w:r>
              <w:rPr/>
              <w:t>24</w:t>
            </w:r>
          </w:p>
        </w:tc>
      </w:tr>
      <w:tr>
        <w:trPr/>
        <w:tc>
          <w:tcPr>
            <w:tcW w:w="5495" w:type="dxa"/>
            <w:tcBorders/>
            <w:shd w:fill="FFFFFF" w:val="clear"/>
            <w:vAlign w:val="center"/>
          </w:tcPr>
          <w:p>
            <w:pPr>
              <w:pStyle w:val="TableContents"/>
              <w:bidi w:val="0"/>
              <w:spacing w:before="0" w:after="283"/>
              <w:jc w:val="left"/>
              <w:rPr/>
            </w:pPr>
            <w:hyperlink w:anchor="a_024">
              <w:r>
                <w:rPr>
                  <w:rStyle w:val="InternetLink"/>
                </w:rPr>
                <w:t>Enforceability of Civil Liabilities</w:t>
              </w:r>
            </w:hyperlink>
          </w:p>
        </w:tc>
        <w:tc>
          <w:tcPr>
            <w:tcW w:w="530" w:type="dxa"/>
            <w:tcBorders/>
            <w:shd w:fill="FFFFFF" w:val="clear"/>
            <w:vAlign w:val="center"/>
          </w:tcPr>
          <w:p>
            <w:pPr>
              <w:pStyle w:val="TableContents"/>
              <w:bidi w:val="0"/>
              <w:spacing w:before="0" w:after="283"/>
              <w:jc w:val="center"/>
              <w:rPr/>
            </w:pPr>
            <w:r>
              <w:rPr/>
              <w:t>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supplement or the accompanying base prospectus. We have not authorized any person to provide you with different or additional information. If anyone provides you with different or inconsistent information, you should not rely on it. This prospectus supplement is not an offer to sell securities, and it is not soliciting an offer to buy securities in any jurisdiction where the offer or sale is not permitted. You should assume that the information appearing in this prospectus supplement or the accompanying base prospectus, as well as information we have previously filed with the SEC and incorporated by reference, is accurate as of the date on the front of those documents only. Our business, financial condition, results of operations and prospects may have changed since those dates.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filed with the SEC a registration statement on Form F-3 (File No. 333-292462) initially on December 29, 2025, utilizing a shelf registration process relating to the securities described in this prospectus supplement, which registration statement, as amended, was declared effective by the SEC on February 6, 2026. Under this shelf registration process, we may, from time to time, in one or more offerings, offer and sell up to $200,000,000 of any combination, together or separately, of our Class A Ordinary Shares, debt securities, warrants, rights, and units, or any combination thereof as described in the accompanying base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offering and also adds to and updates information contained in the accompanying base prospectus and the documents incorporated by reference into the prospectus supplement. The second part, the accompanying base prospectus, gives more general information, some of which does not apply to this offering. You should read this entire prospectus supplement as well as the accompanying base prospectus and the documents incorporated by reference that are described under “Incorporation of Documents by Reference” and “Where You Can Find Additional Information” in this prospectus supplement and the accompanying base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description of the offering varies between this prospectus supplement and the accompanying base prospectus, you should rely on the information contained in this prospectus supplement. However, if any statement in one of these documents is inconsistent with a statement in another document having a later date—for example, a document incorporated by reference in this prospectus supplement and the accompanying base prospectus—the statement in the document having the later date modifies or supersedes the earlier statement. Except as specifically stated, we are not incorporating by reference any information submitted under any Report of Foreign Private Issuer on Form 6-K into this prospectus supplement or the accompanying base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made in this prospectus supplement, or contained in a document incorporated by reference, or deemed to be incorporated by reference, into this prospectus supplement or the accompanying base prospectus will be deemed to be modified or superseded for purposes of this prospectus supplement or the accompanying base prospectus to the extent that a statement contained herein, therein or in any other subsequently filed document which also is incorporated by reference in this prospectus supplement or the accompanying base prospectus modifies or supersedes that statement. Any such statement so modified or superseded will not be deemed, except as so modified or superseded, to constitute a part of this prospectus supplement or the accompanying base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and the accompanying base prospectus were made solely for the benefit of the parties to such agreement, including, in some cases, for the purpose of allocating risk among the parties to such agreements, and should not be deemed to be a representation, warranty or covenant to you unless you are a party to such agreement. Moreover, such representations, warranties, or covenants were accurate only as of the date when made or expressly referenced therein.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_002"/>
      <w:bookmarkEnd w:id="3"/>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supplement to:</w:t>
      </w:r>
    </w:p>
    <w:p>
      <w:pPr>
        <w:pStyle w:val="TextBody"/>
        <w:bidi w:val="0"/>
        <w:spacing w:before="0" w:after="0"/>
        <w:ind w:left="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75"/>
        <w:gridCol w:w="170"/>
        <w:gridCol w:w="8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pPr>
            <w:r>
              <w:rPr/>
              <w:t>“</w:t>
            </w:r>
            <w:r>
              <w:rPr>
                <w:rFonts w:ascii="Times New Roman;Times;Serif" w:hAnsi="Times New Roman;Times;Serif"/>
                <w:sz w:val="20"/>
              </w:rPr>
              <w:t>BVI” are to the British Virgin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pPr>
            <w:r>
              <w:rPr/>
              <w:t>“</w:t>
            </w:r>
            <w:r>
              <w:rPr>
                <w:rFonts w:ascii="Times New Roman;Times;Serif" w:hAnsi="Times New Roman;Times;Serif"/>
                <w:sz w:val="20"/>
              </w:rPr>
              <w:t>China” and the “PRC” are to the People’s Republic of China;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are to Class A ordinary shares of par value of US$0.00001 each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75"/>
        <w:gridCol w:w="170"/>
        <w:gridCol w:w="8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are to Class B ordinary shares of par value of US$0.00001 each of the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pPr>
            <w:r>
              <w:rPr/>
              <w:t>“</w:t>
            </w:r>
            <w:r>
              <w:rPr>
                <w:rFonts w:ascii="Times New Roman;Times;Serif" w:hAnsi="Times New Roman;Times;Serif"/>
                <w:sz w:val="20"/>
              </w:rPr>
              <w:t>Exchange Act” are to the Securities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Nasdaq” are to the Nasdaq Stock Market LLC;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operating entities” are to the two subsidiaries that conduct our operations in China, consisting of Fuzhou Golden Carnival Culture Development Co., Ltd. and Nanping Golden Carnival Culture Development Co., Ltd..;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ordinary shares” are, collectively, to the Class A Ordinary Shares and Class B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RMB” and “Renminbi” are to the legal currency of China;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SEC” are to the United States Securities and Exchange Commission;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Securities Act” are to the Securities Act of 1933, as amended;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U.S.”, “US” or “United States” are to United States of America, its territories, its possessions and all areas subject to its jurisdiction;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 xml:space="preserve">US$,” “$,” “USD” and “U.S. dollars” are to the legal currency of the United States;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we,” “the Company,” “us,” “our company,” “our” are to Golden Heaven Group Holdings Ltd., our Cayman Islands holding company, unless the context suggests otherwise, and also includes its subsidiaries when describing the consolidated financial information of Golden Heaven Group Holdings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base prospectus, and our SEC filings that are incorporated by reference into this prospectus supplement contain or incorporate by reference forward-looking statements within the meaning of Section 27A of the Securities Act and Section 21E of the Exchange Act. Many of the forward-looking statements contained in this prospectus supplement can be identified by the use of forward-looking words such as “anticipate,” “believe,” “could,” “expect,” “should,” “plan,” “intend,” “estimate,” and “potential,”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prospectus supplement, the accompanying base prospectus, and our SEC filings that are incorporated by reference into this prospectus supplement. These forward-looking statements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“Item 3. Key Information—D. Risk Factors” in the 2025 Annual Report, the section entitled “Risk Factors” beginning on page S-4 of this prospectus supplement, and the section entitled “Risk Factors” beginning on page 11 of the accompanying base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except as, and to the extent required by, applicable securities laws.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5" w:name="s_004"/>
      <w:bookmarkEnd w:id="5"/>
      <w:r>
        <w:rPr>
          <w:rFonts w:ascii="Times New Roman;Times;Serif" w:hAnsi="Times New Roman;Times;Serif"/>
          <w:b/>
          <w:i w:val="false"/>
          <w:caps w:val="false"/>
          <w:smallCaps w:val="false"/>
          <w:sz w:val="20"/>
          <w:bdr w:val="single" w:sz="12" w:space="1" w:color="000000"/>
        </w:rPr>
        <w:t>PROSPECTUS SUPPLEMENT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summary highlights, and should be read in conjunction with, the more detailed information contained elsewhere in this prospectus supplement, the accompanying base prospectus, and the documents incorporated therein by reference. You should read carefully the entirety of these documents, including our financial statements and related notes, to understand our business, the Class A Ordinary Shares, and the other considerations that are important to your decision to invest in our securities. You should pay special attention to the “Risk Factors” sections beginning on page S-4 of this prospectus supplement and on page 11 of the accompanying base prospectus as well as “Item 3. Key Information—D. Risk Factors” in the 2025 Annual Report.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offshore holding company incorporated in the Cayman Islands. Through our operating entities in China, we have historically managed and operated amusement parks, water parks, and complementary recreational facilities, offering a range of experiences including thrilling and family-friendly rides, water attractions, gourmet festivals, circus performances, and high-tech entertainment. The amusement park industry in China is currently in a critical phase of expansion, with increasing segmentation and specialization across functions such as equipment safety inspection and maintenance, themed event planning, live performances, youth arts competitions, and gourmet marketplaces. City-center amusement park sites, which rely on real estate planning, represent scarce and irreplaceable resources. Securing access to these core sites and expanding operational scale are key factors for establishing industry leadership and competitive advantages.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November and December 2024, we leased all of our amusement parks to Fuzhou Yibang Amusement Park Co., LTD, an independent third-party operator. As a result, our business model transitioned from operating amusement parks to leasing our parks and receiving rental revenue from Fuzhou Yibang Amusement Park Co., LTD. This shift enables us to focus on asset management and recurring rental income, while leveraging the operational capabilities of a specialized third-party operator. We intend to further optimize the utilization of our assets by coordinating with local cultural, creative, and professional service providers, and supporting lessees in acquiring land use rights and related resources, with the goal of enhancing overall returns for both the Company and its lessees.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the fiscal years ended September 30, 2025, 2024, and 2023, our revenue was US$15,288,195, US$22,333,251 and US$31,786,802, respectively and our net (loss)/income was US$(8,593,406), US$(1,796,552) and US$6,549,584, respectively. For the six months ended March 31, 2026 and 2025, our revenue was US$4,222,937 and US$8,157,961, respectively, our net loss was US$(6,559,187) and US$ (10,635,248), respectively. All the amusement parks were leased to Fuzhou Yibang Amusement Park Co., LTD, a third-party operator, in November and December 2024. The Company transitioned from amusement park operator to amusement park lessor. Our business is discussed more fully under “</w:t>
      </w:r>
      <w:r>
        <w:rPr>
          <w:rFonts w:ascii="Times New Roman;Times;Serif" w:hAnsi="Times New Roman;Times;Serif"/>
          <w:b w:val="false"/>
          <w:i/>
          <w:caps w:val="false"/>
          <w:smallCaps w:val="false"/>
          <w:sz w:val="20"/>
          <w:bdr w:val="single" w:sz="12" w:space="1" w:color="000000"/>
        </w:rPr>
        <w:t>Item 4. Information on the Company—B. Business Overview</w:t>
      </w:r>
      <w:r>
        <w:rPr>
          <w:rFonts w:ascii="Times New Roman;Times;Serif" w:hAnsi="Times New Roman;Times;Serif"/>
          <w:b w:val="false"/>
          <w:i w:val="false"/>
          <w:caps w:val="false"/>
          <w:smallCaps w:val="false"/>
          <w:sz w:val="20"/>
          <w:bdr w:val="single" w:sz="12" w:space="1" w:color="000000"/>
        </w:rPr>
        <w:t>” in the 2025 Annual Report.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hold 100% equity interests in our PRC subsidiaries, and we do not use a VIE structure. Investors are purchasing securities of the holding company, Golden Heaven Cayman, instead of securities of our operating entities. The following diagram illustrates our corporate structure as of the date of this prospectus supplement and prior to the closing of this offering. All percentages in the following diagram reflect the voting interests instead of the equity interests held by each of our shareholders, given that each holder of Class B Ordinary Shares will be entitled to two hundred (200) votes per one Class B Ordinary Share and each holder of Class A Ordinary Shares will be entitled to one vote per one Class A Ordinary Share.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4857750" cy="2714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57750" cy="2714625"/>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No. 8 Banhouhaichuan Rd, Xiqin Town, Yanping District, Nanping City, Fujian Province, China 353001, and our telephone number is +86 0599 8508022. Our website is jsyoule.com. Information contained on, or available through, our website or any other website does not constitute a part of this prospectus, and is not deemed incorporated by reference into, this prospectus. Our registered office in the Cayman Islands is located at the office of Harneys Fiduciary (Cayman) Limited, 4th Floor, Harbour Place, 103 South Church Street, P.O. Box 10240, Grand Cayman KY1-1002, Cayman Islands. Our agent for service of process in the United States is Cogency Global Inc., 122 East 42nd Street, 18th Floor, New York, NY 10168.</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Securities Class Actions. As previously disclosed, three putative securities class actions were filed against us and certain of our current and former officers, directors and other defendants in the Supreme Court of the State of New York, New York County, and the United States District Court for the Central District of California, on December 8, 2023, December 19, 2023 and January 17, 2024, respectively. The two federal actions were consolidated on April 11, 2024. In April and May 2026, the parties reached a proposed global settlement of the actions, pursuant to a stipulation of settlement dated April 28, 2026 entered into among the plaintiffs, us and certain other defendants, for an aggregate cash settlement amount of $1.7 million. On May 7, 2026, the California federal court entered an order staying the federal proceedings, and on May 8, 2026, the New York court preliminarily approved the proposed settlement and directed that notice be given to the settlement class. Members of the settlement class must submit proofs of claim, requests for exclusion or objections by September 3, 2026. The proposed settlement, if finally approved, would resolve the claims asserted against all defendants in both the New York state action and the consolidated federal action without any admission of liability or wrongdoing by us. A final fairness hearing regarding the proposed settlement is currently scheduled for September 24, 2026 before the New York court. The settlement remains subject to final court approval and the satisfaction of the applicable settlement procedures and conditions.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A.G.P./Alliance Global Partners Litigation. In 2025, A.G.P./Alliance Global Partners commenced an action against us in the Supreme Court of the State of New York, New York County (Index No. 652721/2025), arising out of the parties’ private placement agreement. On July 24, 2025, we entered into a settlement agreement with A.G.P. pursuant to which we agreed to pay A.G.P. an aggregate settlement amount of $550,000. We have made payments totaling $550,000 pursuant to the settlement arrangement.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6" w:name="s_005"/>
      <w:bookmarkEnd w:id="6"/>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873"/>
        <w:gridCol w:w="60"/>
        <w:gridCol w:w="8272"/>
      </w:tblGrid>
      <w:tr>
        <w:trPr/>
        <w:tc>
          <w:tcPr>
            <w:tcW w:w="1873"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Class A Ordinary Shares offered by us</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Class A Ordinary Shares for an aggregate offering price of up to $50,000,000.</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both"/>
              <w:rPr/>
            </w:pPr>
            <w:r>
              <w:rPr/>
              <w:t> </w:t>
            </w:r>
          </w:p>
        </w:tc>
      </w:tr>
      <w:tr>
        <w:trPr/>
        <w:tc>
          <w:tcPr>
            <w:tcW w:w="187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Class A Ordinary Shares to be outstanding after this offering, assuming an offering price of $1.33 per share</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No shares have been sold pursuant to the Sales Agreement as of the date hereof. The actual number of Class A Ordinary Shares outstanding after this offering will vary depending on the number of Class A Ordinary Shares sold and issued and the sales price of such shares. Up to 97,013,311 Class A Ordinary Shares will be outstanding after this offering, based on 59,419,326 Class A Ordinary Shares outstanding as of August 31, 2026 and the sale of an additional 37,593,985 Class A Ordinary Shares in this offering at an assumed offering price of $1.33 per share, the last reported sale price of our Class A Ordinary Shares on Nasdaq on August 28, 2026. Because there is no minimum offering amount required as a condition to close this offering, the actual total public offering amount, commissions and proceeds to us, if any, are not determinable at this time.</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Manner of offering</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Sales of our Class A Ordinary Shares, if any, will be made pursuant to the terms of the Sales Agreement. Sales of the shares will be made from time to time through or to the Sales Agent, acting as our agent, in “at the market offering” as defined in Rule 415 under the Securities Act that may be made from time to time on the Nasdaq Capital Market, the existing trading market for our Class A Ordinary Shares. The Sales Agent will make all sales using commercially reasonable efforts consistent with its normal trading and sales practices, on mutually agreeable terms between the Sales Agent and us. See the section titled “Plan of Distribution” on page S-9 of this prospectus supplement.</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intend to use the net proceeds from this offering for general corporate purposes. See “Use of Proceeds” on page S-6 of this prospectus supplement for additional information.</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Investing in our Class A Ordinary Shares involves significant risks. See “Risk Factors” beginning on page S-4 of this prospectus supplement and page 11 of the accompanying base prospectus and in the documents incorporated by reference herein for a discussion of factors you should consider carefully before investing in our Class A Ordinary Shares. </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both"/>
              <w:rPr/>
            </w:pPr>
            <w:r>
              <w:rPr/>
              <w:t> </w:t>
            </w:r>
          </w:p>
        </w:tc>
      </w:tr>
      <w:tr>
        <w:trPr/>
        <w:tc>
          <w:tcPr>
            <w:tcW w:w="187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Agent</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Transhare Corporation</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Nasdaq symbol</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w:t>
            </w:r>
            <w:r>
              <w:rPr>
                <w:rFonts w:ascii="Times New Roman;Times;Serif" w:hAnsi="Times New Roman;Times;Serif"/>
                <w:sz w:val="20"/>
              </w:rPr>
              <w:t>GDHG”</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_006"/>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the risks described under “Risk Factors” in this prospectus supplement and under the heading “Item 3. Key Information—D. Risk Factors” in our most recent annual report, which is incorporated in this prospectus supplement by reference, together with any other information appearing or incorporated by reference in this prospectus supplement and the accompanying base prospectus, in light of your particular investment objectives and financial circumstances. In addition to those risk factors, there may be additional risks and uncertainties of which our management is unaware or deems immaterial. Our business, financial condition, or results of operations could be materially and adversely affected by any of these risks. The trading price of our Class A Ordinary Shares could decline due to any of these risks, and you may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for our Class A Ordinary Shares may not provide investors with adequate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of the market for our Class A Ordinary Shares depends on a number of factors, including our financial condition and operating results, the number of holders of our Class A Ordinary Shares, the market for similar securities and the interest of securities dealers in making a market in the securities. We cannot predict the extent to which investor interest in us will maintain a trading market in our Class A Ordinary Shares, or how liquid that market will be. If an active market is not maintained, you may have difficulty selling Class A Ordinary Shares that you 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Class A Ordinary Shares that we will sell under the Sales Agreement or the gross proceeds resulting from those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placement notice to the Sales Agent at any time, subject to certain exceptions provided for in the Sales Agreement, throughout the term of the Sales Agreement. The number of shares that are sold through the Sales Agent after delivering a placement notice will fluctuate based on a number of factors, including the market price of the Class A Ordinary Shares during the sales period, the limits we set with the Sales Agent in any applicable placement notice, and the demand for our Class A Ordinary Shares during the sales period. Actual gross proceeds may be less than $50,000,000. Because the price per Class A Ordinary Share of each share sold will fluctuate during the sales period, it is not currently possible to predict the number of Class A Ordinary Shares that will be sold or the actual gross proceeds that will be sold to be raised in connection with those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net proceeds from this offering and we may use the net proceeds in a manner that does not increase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for general corporate purposes. However, we have not determined the specific allocation of the net proceeds among these potential uses. Our management will have broad discretion over the use and investment of the net proceeds from this offering, and, accordingly, investors in this offering will need to rely upon the judgment of our management with respect to the use of proceeds, with only limited information concerning our specific intentions. We may use the net proceeds in ways that do not improve our operating results or increase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Class A Ordinary Shares offered hereby will be sold in “at-the-market” offerings, and investors who buy shares at different times will likely pay different prices.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Sales of our Class A Ordinary Shares in this offering, or the perception that such sales may occur, could cause the market price of our Class A Ordinary Shares to fall.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our Class A Ordinary Shares for aggregate gross proceeds of up to $50,000,000 from time to time in connection with this offering. The issuance and sale from time to time of these new Class A Ordinary Shares, or our ability to issue these new Class A Ordinary Shares in this offering, could have the effect of depressing the market price of our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future dilution of our Class A Ordinary Shares, which could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restricted from issuing additional Class A Ordinary Shares from time to time. For example, we may issue additional Class A Ordinary Shares to raise cash for future capital expenditures or for other purposes. We may also acquire interests in other companies by using a combination of cash and our Class A Ordinary Shares or just our Class A Ordinary Shares. We may also issue securities convertible into, exchangeable for or that represent the right to receive our Class A Ordinary Shares. Any of these events may dilute your ownership interest in us, reduce our earnings per share and have an adverse effect on the price of our Class A Ordinary Shares. In addition, sales of a substantial amount of our Class A Ordinary Shares in the public market, or the perception that these sales may occur, could reduce the market price of our Class A Ordinary Shares. See the section titled “Dilution”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factor of “Our historical financial and operating results are not indicative of future performance and our financial and operating results may fluctuate.” in the 2025 Annual Report is hereby updated and restated in its entirety by the following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Our historical financial and operating results are not indicative of future performance and our financial and operating results may fluctuate.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September 30, 2025, 2024, and 2023, our revenue was US$15,288,195, US$22,333,251 and US$31,786,802, respectively. For the same fiscal years, our net (loss) income was US$(8,593,406), US$(1,796,552) and US$6,549,584, respectively. The results of operations of the operating entities may vary from period to period in response to a variety of factors beyond our control, including general economic conditions, regulatory actions pertaining to the amusement park industry, changes in guest spending and preferences, as well as non-recurring charges incurred in connection with extraordinary transactions. Due to these and other factors, our historical financial performance, growth rates, profitability and operating results may not indicate future performance and you should not rely on them to predict our future performance.”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our Class A Ordinary Shares having aggregate gross sales proceeds of up to $50,000,000 from time to time. Because there is no minimum offering amount required as a condition to close this offering, the actual total public offering amount, commissions and proceeds to us, if any, are not determinable at this time. The amount of proceeds from this offering will depend upon the number of Class A Ordinary Shares sold and the market price at which they are sold. There can be no assurance that we will be able to sell any shares under or fully utilize the Sales Agreement as a source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Class A Ordinary Shares offered hereby. We currently intend to use the net proceeds from this offering for general corporate purposes. The precise amount and timing of the application of such proceeds will depend upon our funding requirements and the availability and cost of other capital. As of the date of this prospectus supplement, we cannot specify with certainty all of the particular uses for the net proceeds that we will have from the sale of our Class A Ordinary Shares. Pending the use of the net proceeds from this offering, if any, we may invest the net proceeds in investment grade, short-term interest-bearing obligations, such as money-market funds, certificates of deposit, or direct or guaranteed obligations of the United States government or hold the net proceeds as cash.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_008"/>
      <w:bookmarkEnd w:id="9"/>
      <w:r>
        <w:rPr>
          <w:rFonts w:ascii="Times New Roman;Times;Serif" w:hAnsi="Times New Roman;Times;Serif"/>
          <w:b/>
          <w:i w:val="false"/>
          <w:caps w:val="false"/>
          <w:smallCaps w:val="false"/>
          <w:sz w:val="20"/>
        </w:rPr>
        <w:t>DESCRIPTION OF SECURITIES THAT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$50,000,000 of our Class A Ordinary Shares pursuant to the Sales Agreement with Craft Capital Management LLC. The material terms and provisions of our Class A Ordinary Shares are described under the caption “Description of Share Capital” beginning on page 13 of the accompanying base prospectus. As of the date of this prospectus supplement, the authorized share capital of the Company is US$33,000 divided into: (i) 3,000,000,000 Class A ordinary shares of US$0.00001 par value each, and (ii) 300,000,000 Class B ordinary shares of US$0.00001 par value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the Class A Ordinary Shares being offered in this offering, you may experience dilution to the extent of the difference between the public offering price per Class A Ordinary Share and our as adjusted pro forma net tangible book value per ordinary share immediately after this offering. Such dilution results from the fact that the public offering price per Class A Ordinary Share may be substantially higher than the as adjusted pro forma net tangible book value per ordinary share attributable to the existing shareholders for our presently outstanding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have the same rights except for voting and conversion rights. In respect of matters requiring a vote of all shareholders, on a poll, each holder of Class A Ordinary Shares is entitled to one vote per Class A Ordinary Share and each holder of Class B Ordinary Shares is entitled to 200 votes per Class B Ordinary Share. The Class A Ordinary Shares are not convertible into shares of any other class. The Class B Ordinary Shares are convertible into Class A Ordinary Shares at any time after issuance at the option of the holder thereof on a one-for-one basis. No Class B Ordinary Shares are being or will be converted as part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March 31, 2026, was $217,982,081 or $10.88 per ordinary share. Net tangible book value represents the amount of our total consolidated tangible assets, less the amount of our total consolidated liabilities. The information above is based on an aggregate of 19,960,521 Class A Ordinary Shares and 71,574 Class B Ordinary Shares issued and outstanding as of March 31, 2026. Dilution is determined by subtracting the net tangible book value per Class A Ordinary Share from the public offering price per Class A Ordinary Share and before deducting the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our Class A Ordinary Shares in this offering, at an assumed offering price of $1.33 per share, the last reported sale price of our Class A Ordinary Shares on Nasdaq on August 28, 2026, and before deducting commissions and estimated offering expenses payable by us, our as adjusted pro forma net tangible book value as of March 31, 2026 would have been $297,982,081 or $4.65 per ordinary share. This represents an immediate decrease in the net tangible book value of $6.23 per ordinary share to our existing shareholders and an immediate dilution in net tangible book value of approximately $3.32 per ordinary share to new investors. The following table illustrates per share dilution:</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35"/>
        <w:gridCol w:w="60"/>
        <w:gridCol w:w="140"/>
        <w:gridCol w:w="560"/>
        <w:gridCol w:w="110"/>
      </w:tblGrid>
      <w:tr>
        <w:trPr/>
        <w:tc>
          <w:tcPr>
            <w:tcW w:w="9335" w:type="dxa"/>
            <w:tcBorders/>
            <w:shd w:fill="CCEEFF" w:val="clear"/>
            <w:vAlign w:val="center"/>
          </w:tcPr>
          <w:p>
            <w:pPr>
              <w:pStyle w:val="TableContents"/>
              <w:bidi w:val="0"/>
              <w:spacing w:before="0" w:after="283"/>
              <w:ind w:left="0" w:right="0" w:hanging="180"/>
              <w:jc w:val="both"/>
              <w:rPr/>
            </w:pPr>
            <w:r>
              <w:rPr/>
              <w:t>Assumed public offering price per Class A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1.33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335" w:type="dxa"/>
            <w:tcBorders/>
            <w:shd w:fill="FFFFFF" w:val="clear"/>
            <w:vAlign w:val="center"/>
          </w:tcPr>
          <w:p>
            <w:pPr>
              <w:pStyle w:val="TableContents"/>
              <w:bidi w:val="0"/>
              <w:spacing w:before="0" w:after="283"/>
              <w:jc w:val="both"/>
              <w:rPr/>
            </w:pPr>
            <w:r>
              <w:rPr/>
              <w:t>Net tangible book value per ordinary share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10.88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9335" w:type="dxa"/>
            <w:tcBorders/>
            <w:shd w:fill="CCEEFF" w:val="clear"/>
            <w:vAlign w:val="center"/>
          </w:tcPr>
          <w:p>
            <w:pPr>
              <w:pStyle w:val="TableContents"/>
              <w:bidi w:val="0"/>
              <w:spacing w:before="0" w:after="283"/>
              <w:jc w:val="both"/>
              <w:rPr/>
            </w:pPr>
            <w:r>
              <w:rPr/>
              <w:t>Decrease in net tangible book value per ordinary share, after giving effect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(6.23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9335" w:type="dxa"/>
            <w:tcBorders/>
            <w:shd w:fill="FFFFFF" w:val="clear"/>
            <w:vAlign w:val="center"/>
          </w:tcPr>
          <w:p>
            <w:pPr>
              <w:pStyle w:val="TableContents"/>
              <w:bidi w:val="0"/>
              <w:spacing w:before="0" w:after="283"/>
              <w:jc w:val="both"/>
              <w:rPr/>
            </w:pPr>
            <w:r>
              <w:rPr/>
              <w:t>As adjusted pro forma net tangible book value per ordinary share as of March 31, 2026,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4.65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9335" w:type="dxa"/>
            <w:tcBorders/>
            <w:shd w:fill="CCEEFF" w:val="clear"/>
            <w:vAlign w:val="center"/>
          </w:tcPr>
          <w:p>
            <w:pPr>
              <w:pStyle w:val="TableContents"/>
              <w:bidi w:val="0"/>
              <w:spacing w:before="0" w:after="283"/>
              <w:jc w:val="both"/>
              <w:rPr/>
            </w:pPr>
            <w:r>
              <w:rPr/>
              <w:t>Dilution per share to new investors purchasing shares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(3.32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above is based on an aggregate of 19,960,521 Class A Ordinary Shares and 71,574 Class B Ordinary Shares issued and outstanding as of March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60,150,376 Class A Ordinary Shares are sold at a price of $1.33 per share, the last reported sale price of our Class A Ordinary Shares on Nasdaq on August 28, 2026, for aggregate gross proceeds of approximately $50,000,000. The shares sold in this offering, if any, will be sold from time to time at various prices. An increase of $1.00 per share in the price at which the shares are sold from the assumed offering price of $1.33 per share shown in the table above, assuming all of our Class A Ordinary Shares in the aggregate amount of $50,000,000 is sold at that price, would increase our as adjusted pro forma net tangible book value per share after the offering to $6.46 per share and would increase the dilution in net tangible book value per share to new investors in this offering to $4.13 per share, before deducting commissions and estimated offering expenses payable by us. A decrease of $1.00 per share in the price at which the shares are sold from the assumed offering price of $1.33 per share shown in the table above, assuming all of our Class A Ordinary Shares in the aggregate amount of $50,000,000 is sold at that price, would decrease our adjusted net tangible book value per share after the offering to $1.56 per share and would result in accretion in net tangible book value per share to new investors in this offering to $1.23 per share, after deducting estimated offering expenses and commissions payable by us. This information is supplied for illustrative purposes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outstanding options or warrants are exercised, or we issue other shares, investors purchasing shares in this offering could experience further dilution. In addition, to the extent that we raise additional capital through the sale of equity or convertible debt securities, the issuance of those securities could result in further dilution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_009"/>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the Sales Agent, Craft Capital Management LLC, under which we may offer and sell our Class A Ordinary Shares for an aggregate offering price of up to $50,000,000 from time to time through or to the Sales Agent, as agent. The sale of our Class A Ordinary Shares, if any, under this prospectus supplement will be made at market prices by any method deemed to be an “at the market offering” as defined in Rule 415(a)(4) under the Securities Act, including sales made directly on Nasdaq, or sales made to or through a market maker other than on an exchange or any other method permitted under applicable law. The Sales Agent will utilize the services of an executing broker that is also a registered broker-dealer and member of FINRA.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that we wish to issue and sell our Class A Ordinary Shares under the Sales Agreement, we will provide the Sales Agent with a placement notice describing the number or dollar value of Class A Ordinary Shares to be sold, the time period during which sales are requested to be made, any limitation on the number of Class A Ordinary Shares that may be sold in any single day, and any minimum price below which sales may not be made and any other instructions relevant to such requested sales. Upon receipt of a placement notice, the Sales Agent, acting as our sales agent, will use commercially reasonable efforts, consistent with its normal trading and sales practices and applicable state and federal laws, rules and regulations and the rules of Nasdaq, to sell our Class A Ordinary Shares under the terms and subject to the conditions of the placement notice and the Sales Agreement. We or the Sales Agent may suspend the offering of Class A Ordinary Shares upon notice and subject to other conditions. The Sales Agent, in its sole discretion, may decline to accept any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will provide written confirmation to us no later than the opening of the trading day on Nasdaq following the trading day on which our Class A Ordinary Shares are sold under the Sales Agreement. Each confirmation will include the number of shares sold on the preceding day, the volume-weighted average price of the shares sold on such day, the net proceeds to us, and the commissions payable by us to the Sales Agent in connection with the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Class A Ordinary Shares under the Sales Agreement will occur on the first trading day following the date on which such sales are made (or on such other date as is industry practice for regular-way trading), unless otherwise specified in the applicable placement notice, in return for payment of the net proceeds to us. There are no arrangements to place any of the proceeds of this offering in an escrow, trust or similar account. Sales of our Class A Ordinary Shares as contemplated in this prospectus supplement will be settled through the facilities of The Depository Trust Company or by such other means as we and the Sales Agent may agree upon.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Sales Agent commissions for its services in acting as our sales agent in the sale of our Class A Ordinary Shares pursuant to the Sales Agreement. The Sales Agent and applicable executing broker will be entitled to an aggregate compensation of 5.0% of the gross proceeds from the sale of our Class A Ordinary Shares on our behalf pursuant to the Sales Agreement. We also have agreed to reimburse the Sales Agent for its expenses in connection with the offering under the Sales Agreement in an amount not to exceed $65,000, and up to an additional $2,500 for each calendar quarter in which the Company utilizes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our total expenses for this offering, excluding Sales Agent fees and reimbursements, will be approximately $186,010.63.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there are no minimum sale requirements as a condition to this offering, the actual total public offering price, commissions and net proceeds to us, if any, are not determinable at this time. The actual dollar amount and number of Class A Ordinary Shares we sell through this prospectus supplement will be dependent, among other things, on market conditions and our capital raising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report at least quarterly the number of Class A Ordinary Shares sold through the Sales Agent under the Sales Agreement, the net proceeds to us and the compensation paid by us to the Sales Agent in connection with the sales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Class A Ordinary Shares pursuant to the Sales Agreement will terminate automatically upon the sale of all of our Class A Ordinary Shares subject to the Sales Agreement pursuant to the terms of the Sales Agreement. We and the Sales Agent may each terminate the Sales Agreement at any time upon five (5) days’ prior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 The Sales Agreement has been filed as an exhibit to a current report on Form 6-K that we filed with the SEC in connection with this offering and is incorporated into this prospectus supplement by reference. See “Where You Can Find More Information” in the prospectus supplement, as amended by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will be deemed to be an underwriter within the meaning of Section 2(a)(11) of the Securities Act, and commissions received by it and any profit realized on the sale of our securities offered hereby by it while acting as principal will be deemed to be underwriting discounts or commissions under the Securities Act. The Sales Agent will be required to comply with the requirements of the Securities Act and the Exchange Act, including, without limitation, Rule 10b-5 and Regulation M under the Exchange Act. These rules and regulations may limit the timing of purchases and sales of our securities by the Sales Agent. Under these rules and regulations, the Sales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Sales Agent and applicable executing agent against certain liabilities, including liabilities under the Securities Act and liabilities arising from breaches of representations and warranties contained in the Sales Agreement. We have also agreed to contribute to payments the Sales Agent may be required to make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Relationships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and/or their affiliates may in the future provide, various investment banking and other financial services for us, for which services may in the future receive customary fees and commissions for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Restrictions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Sales Agent that would permit a public offering of the securities offered by this prospectus supplement and the accompanying base prospectus in any jurisdiction where action for that purpose is required. The securities offered by this prospectus supplement and the accompanying base prospectus may not be offered or sold, directly or indirectly, nor may this prospectus supplement, the accompanying base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or the accompanying base prospectus comes are advised to inform themselves about and to observe any restrictions relating to the offering and the distribution of this prospectus supplement and the accompanying base prospectus. This prospectus supplement and the accompanying base prospectus do not constitute an offer to sell or a solicitation of an offer to buy any securities offered by this prospectus supplement and the accompanying base prospectus in any jurisdiction in which such an offer or a solicitation is unlawful.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_010"/>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as to United States federal securities and New York State law. The validity of the securities offered in this offering and certain other legal matters as to Cayman Islands law will be passed upon for us by Ogier, our counsel as to Cayman Islands law. Legal matters as to PRC law will be passed upon for us by Fujian Mingan Law Firm. The Sales Agent is being represented in this offering, with respect to United States federal securities and New York state law, by Sichenzia Ross Ference Carmel LLP, New York,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_011"/>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Golden Heaven Group Holdings Ltd. as of September 30, 2025, 2024, and 2023, and for each of the three fiscal years in the period ended September 30, 2025, incorporated by reference in this prospectus supplement and the accompanying base prospectus, have been so incorporated in reliance on the report of Assentsure PAC, an independent registered public accounting firm, given on the authority of said firm as an expert in auditing and accounting. The office of Assentsure Pac is located at UEN-201816648N, 180B Bencoolen Street 03-01, the Bencoolen, Singapore 189648.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_012"/>
      <w:bookmarkEnd w:id="13"/>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certain information that we file with the SEC. This means that we can disclose important information to you by referring you to those documents. Any statement contained in a document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supplement the following documents: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7"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3">
              <w:r>
                <w:rPr>
                  <w:rStyle w:val="InternetLink"/>
                  <w:rFonts w:ascii="Times New Roman;Times;Serif" w:hAnsi="Times New Roman;Times;Serif"/>
                  <w:sz w:val="20"/>
                </w:rPr>
                <w:t>Form 20-F</w:t>
              </w:r>
            </w:hyperlink>
            <w:r>
              <w:rPr/>
              <w:t xml:space="preserve"> </w:t>
            </w:r>
            <w:r>
              <w:rPr>
                <w:rFonts w:ascii="Times New Roman;Times;Serif" w:hAnsi="Times New Roman;Times;Serif"/>
                <w:sz w:val="20"/>
              </w:rPr>
              <w:t>for the fiscal year ended September 30, 2025 filed with the SEC on January 21, 2026;</w:t>
            </w:r>
          </w:p>
        </w:tc>
      </w:tr>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9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 </w:t>
            </w:r>
          </w:p>
        </w:tc>
        <w:tc>
          <w:tcPr>
            <w:tcW w:w="9957" w:type="dxa"/>
            <w:tcBorders/>
            <w:vAlign w:val="center"/>
          </w:tcPr>
          <w:p>
            <w:pPr>
              <w:pStyle w:val="TableContents"/>
              <w:bidi w:val="0"/>
              <w:spacing w:before="0" w:after="283"/>
              <w:jc w:val="both"/>
              <w:rPr/>
            </w:pPr>
            <w:r>
              <w:rPr>
                <w:rFonts w:ascii="Times New Roman;Times;Serif" w:hAnsi="Times New Roman;Times;Serif"/>
                <w:sz w:val="20"/>
              </w:rPr>
              <w:t xml:space="preserve">our reports of foreign private issuer on Form 6-K filed with the SEC on </w:t>
            </w:r>
            <w:hyperlink r:id="rId4">
              <w:r>
                <w:rPr>
                  <w:rStyle w:val="InternetLink"/>
                  <w:rFonts w:ascii="Times New Roman;Times;Serif" w:hAnsi="Times New Roman;Times;Serif"/>
                  <w:sz w:val="20"/>
                </w:rPr>
                <w:t>July 7, 2026</w:t>
              </w:r>
            </w:hyperlink>
            <w:r>
              <w:rPr>
                <w:rFonts w:ascii="Times New Roman;Times;Serif" w:hAnsi="Times New Roman;Times;Serif"/>
                <w:sz w:val="20"/>
              </w:rPr>
              <w:t xml:space="preserve">, </w:t>
            </w:r>
            <w:hyperlink r:id="rId5">
              <w:r>
                <w:rPr>
                  <w:rStyle w:val="InternetLink"/>
                  <w:rFonts w:ascii="Times New Roman;Times;Serif" w:hAnsi="Times New Roman;Times;Serif"/>
                  <w:sz w:val="20"/>
                </w:rPr>
                <w:t>May 19, 2026</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May 12,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May 4,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April 1,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March 3,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February 24,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February 23, 2026</w:t>
              </w:r>
            </w:hyperlink>
            <w:r>
              <w:rPr>
                <w:rFonts w:ascii="Times New Roman;Times;Serif" w:hAnsi="Times New Roman;Times;Serif"/>
                <w:sz w:val="20"/>
              </w:rPr>
              <w:t xml:space="preserve"> and </w:t>
            </w:r>
            <w:hyperlink r:id="rId12">
              <w:r>
                <w:rPr>
                  <w:rStyle w:val="InternetLink"/>
                  <w:rFonts w:ascii="Times New Roman;Times;Serif" w:hAnsi="Times New Roman;Times;Serif"/>
                  <w:sz w:val="20"/>
                </w:rPr>
                <w:t>January 27,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securities contained in our registration statement on </w:t>
            </w:r>
            <w:hyperlink r:id="rId13">
              <w:r>
                <w:rPr>
                  <w:rStyle w:val="InternetLink"/>
                  <w:rFonts w:ascii="Times New Roman;Times;Serif" w:hAnsi="Times New Roman;Times;Serif"/>
                  <w:sz w:val="20"/>
                </w:rPr>
                <w:t>Form 8-A</w:t>
              </w:r>
            </w:hyperlink>
            <w:r>
              <w:rPr/>
              <w:t xml:space="preserve"> </w:t>
            </w:r>
            <w:r>
              <w:rPr>
                <w:rFonts w:ascii="Times New Roman;Times;Serif" w:hAnsi="Times New Roman;Times;Serif"/>
                <w:sz w:val="20"/>
              </w:rPr>
              <w:t xml:space="preserve">filed with the SEC on March 30, 2023, the description of securities contained in </w:t>
            </w:r>
            <w:hyperlink r:id="rId14">
              <w:r>
                <w:rPr>
                  <w:rStyle w:val="InternetLink"/>
                  <w:rFonts w:ascii="Times New Roman;Times;Serif" w:hAnsi="Times New Roman;Times;Serif"/>
                  <w:sz w:val="20"/>
                </w:rPr>
                <w:t>exhibit 2.2</w:t>
              </w:r>
            </w:hyperlink>
            <w:r>
              <w:rPr/>
              <w:t xml:space="preserve"> </w:t>
            </w:r>
            <w:r>
              <w:rPr>
                <w:rFonts w:ascii="Times New Roman;Times;Serif" w:hAnsi="Times New Roman;Times;Serif"/>
                <w:sz w:val="20"/>
              </w:rPr>
              <w:t xml:space="preserve">to the 2025 </w:t>
            </w:r>
            <w:hyperlink r:id="rId15">
              <w:r>
                <w:rPr>
                  <w:rStyle w:val="InternetLink"/>
                  <w:rFonts w:ascii="Times New Roman;Times;Serif" w:hAnsi="Times New Roman;Times;Serif"/>
                  <w:sz w:val="20"/>
                </w:rPr>
                <w:t>Annual Report</w:t>
              </w:r>
            </w:hyperlink>
            <w:r>
              <w:rPr/>
              <w:t xml:space="preserve"> </w:t>
            </w:r>
            <w:r>
              <w:rPr>
                <w:rFonts w:ascii="Times New Roman;Times;Serif" w:hAnsi="Times New Roman;Times;Serif"/>
                <w:sz w:val="20"/>
              </w:rPr>
              <w:t>filed with the SEC on January 27, 2025, and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reports of foreign private issuer on Form 6-K that we furnish to the SEC after the date of this prospectus supplement that are identified in such reports as being incorporated by reference into the registration statement of which this prospectus supplement forms a part.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Our annual report on </w:t>
      </w:r>
      <w:hyperlink r:id="rId16">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September 30, 2025 filed with the SEC on January 21, 2026, contains a description of our business and audited consolidated financial statements with a report by our independent auditors. These statements were prepared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Group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Banhouhaichuan 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Xiqin Town, Yanping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Nanping City, Fujian Province, China 353001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+86 0599 8508022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supplement. We have not authorized anyone to provide you with different information. We are not making any offer to sell these securities in any jurisdiction where the offer or sale is not permitted. You should not assume that the information contained or incorporated in this prospectus supplement by reference is accurate as of any date other than the date of the document containing the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_013"/>
      <w:bookmarkEnd w:id="14"/>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reporting requirements of the Exchange Act, and in accordance with the Exchange Act, we file annual reports and other information with the SEC. Information we file with the SEC can be obtained over the internet on the SEC’s website at </w:t>
      </w:r>
      <w:r>
        <w:rPr>
          <w:rFonts w:ascii="Times New Roman;Times;Serif" w:hAnsi="Times New Roman;Times;Serif"/>
          <w:b w:val="false"/>
          <w:i/>
          <w:caps w:val="false"/>
          <w:smallCaps w:val="false"/>
          <w:sz w:val="20"/>
        </w:rPr>
        <w:t>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part of a registration statement we have filed with the SEC. This prospectus supplement omits some information contained in the registration statement in accordance with SEC rules and regulations. You should review the information and exhibits in the registration statement for further information on us and the securities being offered. Statements in this prospectus supplement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b/>
        </w:rPr>
      </w:pPr>
      <w:r>
        <w:rPr>
          <w:b/>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09775" cy="942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009775" cy="9429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an offering of the securities of Golden Heaven Group Holdings Ltd., a Cayman Islands holding company. We may, from time to time, in one or more offerings, offer and sell up to $200,000,000 of our Class A ordinary shares of par value US$1.875 each (the “Class A Ordinary Shares”), debt securities, warrants, rights, and units, or any combination thereof, together or separately as described in this prospectus. In this prospectus, references to the term “securities” refers, collectively, to our Class A Ordinary Shares, debt securities, warrants, rights, and units, but excluding any Class A Ordinary Share issued and outstanding, or may be converted from an issued and outstanding Class B Ordinary Share,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selling shareholders named in a prospectus supplement may offer and sell our Class A Ordinary Shares held by them. We will not receive any proceeds from the sale of our Class A Ordinary Shares by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We will provide the specific terms of the securities offered in one or more supplements to this prospectus. We may also authorize one or more free writing prospectuses to be provided to you in connection with these offerings. You should read this prospectus, any prospectus supplement, and any free writing prospectus before you invest in any of our securities. The prospectus supplement and any related free writing prospectus may add, update, or change information in this prospectus. You should read carefully this prospectus, the applicable prospectus supplement, and any related free writing prospectus, as well as the documents incorporated or deemed to be incorporated by reference, before you invest in any of our securities. This prospectus may not be used to offer or sell any securities unless accompanied by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“GDHG.” On January 30, 2026, the last reported sale price of our Class A Ordinary Shares on the Nasdaq Capital Market was $1.995 per share. The aggregate market value of our outstanding Class A Ordinary Shares held by non-affiliates, or public float, as of January 30, 2026, was approximately $34,833,739.40, which was calculated based on 17,460,521 Class A Ordinary Shares held by non-affiliates and the price of $1.995 per share, which was the closing price of our Class A Ordinary Shares on the Nasdaq Capital Market on January 30, 2026. Pursuant to General Instruction I.B.5 of Form F-3, in no event will we sell our securities in a public primary offering with a value exceeding more than one-third of our public float in any 12-month period so long as our public float remains below $75 million. During the 12 calendar months prior to and including the date of this prospectus, we have not offered or sold any securities pursuant to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making an investment decision, please read the information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11 of this prospectus and risk factors set forth in our most recent annual report on Form 20-F (the “2025 Annual Report”), in other reports incorporated herein by reference, and in an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selling shareholders may offer and sell the securities from time to time at fixed prices, at market prices, or at negotiated prices, to or through underwriters, to other purchasers, through agents, or through a combination of these methods. If any underwriters are involved in the sale of any securities with respect to which this prospectus is being delivered, the names of such underwriters and any applicable commissions or discounts will be set forth in a prospectus supplement. The offering price of such securities and the net proceeds we expect to receive from such sale will also be set forth in a prospectus supplement.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elsewhere in this prospectus for a more complete description of the ways in which the securities may be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incorporated in the Cayman Islands. We have no material operations of our own and conduct substantially all our operations through the Chinese operating entities. We directly hold 100% equity interests in the Chinese operating entities and do not currently adopt any variable interest entity (“VIE”) contractual agreements between the entities. Investors in our securities are purchasing equity interests in the Cayman Islands holding company, and not in the Chinese operating entities. Investors in our securities may never hold equity interests in the Chinese operating entities. Our operating structure involves unique risks to investors. The Chinese regulatory authorities could disallow our operating structure, which would likely result in a material change in our operations and/or a material change in the value of our Class A Ordinary Shares, and could cause the value of our Class A Ordinary Shares to significantly decline or become worthless. See “</w:t>
      </w:r>
      <w:r>
        <w:rPr>
          <w:rFonts w:ascii="Times New Roman;Times;Serif" w:hAnsi="Times New Roman;Times;Serif"/>
          <w:b w:val="false"/>
          <w:i/>
          <w:caps w:val="false"/>
          <w:smallCaps w:val="false"/>
          <w:sz w:val="20"/>
        </w:rPr>
        <w:t>Item 3. Key Information—D. Risk Factors—Risks Related to Doing Business in the PRC—The Chinese government exerts substantial influence over the manner in which the operating entities conduct their business activities, may intervene or influence such operations at any time, or may exert more control over offerings conducted overseas and/or foreign investment in China-based issuers, which could result in a material change in such operations and the value of our securities, significantly limit or completely hinder our ability to offer or continue to offer securities to investors, and cause the value of our securities to significantly decline or be worthless</w:t>
      </w:r>
      <w:r>
        <w:rPr>
          <w:rFonts w:ascii="Times New Roman;Times;Serif" w:hAnsi="Times New Roman;Times;Serif"/>
          <w:b w:val="false"/>
          <w:i w:val="false"/>
          <w:caps w:val="false"/>
          <w:smallCaps w:val="false"/>
          <w:sz w:val="20"/>
        </w:rPr>
        <w:t>” in the 2025 Annual Report, which is incorporated by reference into this prospectus. As used in this prospectus, terms such as the “Company,” “we,” “us,” “our company,” or “our” refer to Golden Heaven Group Holdings Ltd., unless the context suggests otherwise, and when describing Golden Heaven Group Holdings Ltd.’s consolidated financial information, such terms shall also include the Chinese operating entities. For further information on our corporate structure, see “</w:t>
      </w:r>
      <w:r>
        <w:rPr>
          <w:rFonts w:ascii="Times New Roman;Times;Serif" w:hAnsi="Times New Roman;Times;Serif"/>
          <w:b w:val="false"/>
          <w:i/>
          <w:caps w:val="false"/>
          <w:smallCaps w:val="false"/>
          <w:sz w:val="20"/>
        </w:rPr>
        <w:t>Prospectus Summary—Our Corporate Structure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substantially all of our operations are conducted by the operating entities in China, we are subject to the associated legal and operational risks, including risks related to the legal, political and economic policies of the Chinese government, the relations between China and the United States, or Chinese or United States regulations, which risks could result in a material change in our operations and/or cause the value of our securities to significantly decline or become worthless, and affect our ability to offer or continue to offer securities to investors. The PRC government have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neither we nor the Chinese operating entities have been involved in any investigations on cybersecurity review initiated by any PRC regulatory authority, nor has any of them received any inquiry, notice, or sanction. As confirmed by our PRC counsel, Fujian Mingan Law Firm, we are not subject to cybersecurity review with the Cyberspace Administration of China, or the “CAC,” under the Cybersecurity Review Measures that became effective on February 15, 2022, since we currently do not have over one million users’ personal information and do not anticipate that we will be collecting over one million users’ personal information in the foreseeable future, which we understand might otherwise subject us to the Cybersecurity Review Measures. See “</w:t>
      </w:r>
      <w:r>
        <w:rPr>
          <w:rFonts w:ascii="Times New Roman;Times;Serif" w:hAnsi="Times New Roman;Times;Serif"/>
          <w:b w:val="false"/>
          <w:i/>
          <w:caps w:val="false"/>
          <w:smallCaps w:val="false"/>
          <w:sz w:val="20"/>
        </w:rPr>
        <w:t>Item 3. Key Information—D. Risk Factors—Risks Related to Doing Business in the PRC—Recent greater oversight by the CAC over data security could adversely impact the operating entities’ business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China Securities Regulatory Commission (the “CSRC”) promulgated the Trial Administrative Measures of Overseas Securities Offering and Listing by Domestic Companies, or the “Trial Measures,” and five supporting guidelines, which came into effect on March 31, 2023. According to the Notice on the Administrative Arrangements for the Filing of the Overseas Securities Offering and Listing by Domestic Companies from the CSRC, or “the CSRC Notice,” domestic companies that have already been listed overseas before the effective date of the Trial Measures (namely, March 31, 2023) shall be deemed as existing issuers (the “Existing Issuers”). Existing Issuers are not required to complete the filing procedures immediately, and they shall be required to file with the CSRC for any subsequent offerings. As advised by our PRC counsel, Fujian Mingan Law Firm, we are required to complete the filing procedures with the CSRC for this offering. In the event that we intend to undertake new offerings or fundraising activities in the future, to ensure compliance with the relevant regulations, we intend to file for compliance accordingly. See “</w:t>
      </w:r>
      <w:r>
        <w:rPr>
          <w:rFonts w:ascii="Times New Roman;Times;Serif" w:hAnsi="Times New Roman;Times;Serif"/>
          <w:b w:val="false"/>
          <w:i/>
          <w:caps w:val="false"/>
          <w:smallCaps w:val="false"/>
          <w:sz w:val="20"/>
        </w:rPr>
        <w:t>Item 3. Key Information—D. Risk Factors—Risks Related to Doing Business in the PRC—The approval and/or other requirements of the CSRC or other PRC government authorities may be required in connection with offerings under PRC rules, regulations or policies, and, if required, we cannot predict whether or how soon we will be able to obtain such approval</w:t>
      </w:r>
      <w:r>
        <w:rPr>
          <w:rFonts w:ascii="Times New Roman;Times;Serif" w:hAnsi="Times New Roman;Times;Serif"/>
          <w:b w:val="false"/>
          <w:i w:val="false"/>
          <w:caps w:val="false"/>
          <w:smallCaps w:val="false"/>
          <w:sz w:val="20"/>
        </w:rPr>
        <w:t>” in the 2025 Annual Report. Other than the foregoing, as of the date of this prospectus, according to our PRC counsel, Fujian Mingan Law Firm, no relevant laws or regulations in the PRC explicitly require us to seek approval from the CSRC or any other PRC governmental authorities for our overseas listing. As of the date of this prospectus, neither we nor the Chinese operating entities have received any inquiry, notice, warning, or sanctions regarding our overseas listing from the CSRC or any other PRC governmental authorities. Since these statements and regulatory actions are newly published, however, official guidance and related implementation rules have not been issued. It is highly uncertain what the potential impact such modified or new laws and regulations will have on the daily business operations of the Chinese operating entities, our ability to accept foreign investments, and our listing on a U.S. exchange. The Standing Committee of the National People’s Congress (the “SCNPC”) or PRC regulatory authorities may in the future promulgate laws, regulations, or implement rules that require us or the Chinese operating entities to obtain regulatory approval from Chinese authorities for listing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Class A Ordinary Shares may be delisted from a national exchange or prohibited from being traded over-the-counter under the Holding Foreign Companies Accountable Act (the “HFCA Act”) if the Public Company Accounting Oversight Board (the “PCAOB”) is unable to inspect our auditor for two consecutive years. On December 16, 2021, the PCAOB issued its determinations that the PCAOB was unable to inspect or investigate completely PCAOB-registered public accounting firms headquartered in mainland China and in Hong Kong, because of positions taken by PRC authorities in those jurisdictions, which determinations were vacated on December 15, 2022. Our auditor, ASSENTSURE PAC, is headquartered in Singapore, will be inspected by the PCAOB on a regular basis, and it is not subject to the determinations announced by the PCAOB on December 16, 2021. On August 26, 2022, the PCAOB signed a Statement of Protocol Agreement (the “SOP”) with the CSRC and China’s Ministry of Finance. The SOP, together with two protocol agreements governing inspections and investigations (together, the “SOP Agreements”), establish a specific, accountable framework to make possible complete inspections and investigations by the PCAOB of audit firms based in mainland China and Hong Kong, as required under U.S. law.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See “</w:t>
      </w:r>
      <w:r>
        <w:rPr>
          <w:rFonts w:ascii="Times New Roman;Times;Serif" w:hAnsi="Times New Roman;Times;Serif"/>
          <w:b w:val="false"/>
          <w:i/>
          <w:caps w:val="false"/>
          <w:smallCaps w:val="false"/>
          <w:sz w:val="20"/>
        </w:rPr>
        <w:t>Item 3. Key Information—D. Risk Factors—Risks Related to Our Class A Ordinary Shares and the Trading Market—Recent joint statement by the SEC and the PCAOB proposed rule changes submitted by Nasdaq, and the Holding Foreign Companies Accountable Act passed by the U.S. Senate all call for additional and more stringent criteria to be applied to emerging market companies upon assessing the qualification of their auditors, especially the non-U.S. auditors who are not inspected by the PCAOB. These developments could add uncertainties to our future offerings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maintained any cash management policies that dictate the purpose, amount and procedure for fund transfers among our Cayman Islands holding company, our subsidiaries, or investors. Rather, the funds can be transferred in accordance with the applicable laws and regulations. In May 2023, our Cayman Islands holding company made a net cash transfer in the amount of approximately $6.19 million to the Chinese operating entities, which amount is derived from the net proceeds raised from our initial public offering. See “</w:t>
      </w:r>
      <w:r>
        <w:rPr>
          <w:rFonts w:ascii="Times New Roman;Times;Serif" w:hAnsi="Times New Roman;Times;Serif"/>
          <w:b w:val="false"/>
          <w:i/>
          <w:caps w:val="false"/>
          <w:smallCaps w:val="false"/>
          <w:sz w:val="20"/>
        </w:rPr>
        <w:t>Prospectus Summary—Cash Transfers and Dividend Distributions</w:t>
      </w:r>
      <w:r>
        <w:rPr>
          <w:rFonts w:ascii="Times New Roman;Times;Serif" w:hAnsi="Times New Roman;Times;Serif"/>
          <w:b w:val="false"/>
          <w:i w:val="false"/>
          <w:caps w:val="false"/>
          <w:smallCaps w:val="false"/>
          <w:sz w:val="20"/>
        </w:rPr>
        <w:t>.” As of the date of this prospectus, our Cayman Islands holding company has not declared or paid dividends or made distributions to the Chinese operating entities or to investors in the past, nor were any dividends or distributions made by a Chinese operating entity to the Cayman Islands holding company. Our board of directors has complete discretion on whether to distribute dividends, subject to applicable laws. We do not have any current plan to declare or pay any cash dividends on our Class A Ordinary Shares in the foreseeable future. See “</w:t>
      </w:r>
      <w:r>
        <w:rPr>
          <w:rFonts w:ascii="Times New Roman;Times;Serif" w:hAnsi="Times New Roman;Times;Serif"/>
          <w:b w:val="false"/>
          <w:i/>
          <w:caps w:val="false"/>
          <w:smallCaps w:val="false"/>
          <w:sz w:val="20"/>
        </w:rPr>
        <w:t>Item 3. Key Information—D. Risk Factors— Risks Related to Our Class A Ordinary Shares and the Trading Market—We currently do not expect to pay dividends in the foreseeable future and you must rely on price appreciation of the Class A Ordinary Shares for return on your investment</w:t>
      </w:r>
      <w:r>
        <w:rPr>
          <w:rFonts w:ascii="Times New Roman;Times;Serif" w:hAnsi="Times New Roman;Times;Serif"/>
          <w:b w:val="false"/>
          <w:i w:val="false"/>
          <w:caps w:val="false"/>
          <w:smallCaps w:val="false"/>
          <w:sz w:val="20"/>
        </w:rPr>
        <w:t>” in the 2025 Annual Report, which is incorporated by reference into this prospectus. Subject to certain contractual, legal and regulatory restrictions, cash and capital contributions may be transferred among our Cayman Islands holding company and the Chinese operating entities. If needed, our Cayman Islands holding company can transfer cash to the Chinese operating entities through loans and/or capital contributions, and the Chinese operating entities can transfer cash to our Cayman Islands holding company through loans and/or issuing dividends or other distributions. There are limitations on the ability to transfer cash between the Cayman Islands holding company, the Chinese operating entities or investors. Cash transfers from the Cayman Islands holding company to the Chinese operating entities are subject to the applicable PRC laws and regulations on loans and direct investment. See “</w:t>
      </w:r>
      <w:r>
        <w:rPr>
          <w:rFonts w:ascii="Times New Roman;Times;Serif" w:hAnsi="Times New Roman;Times;Serif"/>
          <w:b w:val="false"/>
          <w:i/>
          <w:caps w:val="false"/>
          <w:smallCaps w:val="false"/>
          <w:sz w:val="20"/>
        </w:rPr>
        <w:t>Item 3. Key Information—D. Risk Factors—Risks Related to Doing Business in the PRC—PRC regulations of loans and direct investment by offshore holding companies to PRC entities may delay or prevent us from using the proceeds of our offshore financing to make loans or additional capital contributions to the operating entities, which could materially and adversely affect our liquidity and business</w:t>
      </w:r>
      <w:r>
        <w:rPr>
          <w:rFonts w:ascii="Times New Roman;Times;Serif" w:hAnsi="Times New Roman;Times;Serif"/>
          <w:b w:val="false"/>
          <w:i w:val="false"/>
          <w:caps w:val="false"/>
          <w:smallCaps w:val="false"/>
          <w:sz w:val="20"/>
        </w:rPr>
        <w:t>” in the 2025 Annual Report, which is incorporated by reference into this prospectus. If any of the operating entities incurs debt on its own behalf in the future, the instruments governing such debt may restrict their ability to pay dividends to the Cayman Islands holding company. Cash transfers from the Chinese operating entities to the Cayman Islands holding company are also subject to the current PRC regulations, which permit the Chinese operating entities to pay dividends to their shareholders only out of their accumulated profits, if any, determined in accordance with PRC accounting standards and regulations. See “</w:t>
      </w:r>
      <w:r>
        <w:rPr>
          <w:rFonts w:ascii="Times New Roman;Times;Serif" w:hAnsi="Times New Roman;Times;Serif"/>
          <w:b w:val="false"/>
          <w:i/>
          <w:caps w:val="false"/>
          <w:smallCaps w:val="false"/>
          <w:sz w:val="2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rPr>
        <w:t>” in the 2025 Annual Report, which is incorporated by reference into this prospectus. Cash transfers from the Cayman Islands holding company to the investors are subject to the restrictions on the remittance of Renminbi into and out of China and governmental control of currency conversion. See “</w:t>
      </w:r>
      <w:r>
        <w:rPr>
          <w:rFonts w:ascii="Times New Roman;Times;Serif" w:hAnsi="Times New Roman;Times;Serif"/>
          <w:b w:val="false"/>
          <w:i/>
          <w:caps w:val="false"/>
          <w:smallCaps w:val="false"/>
          <w:sz w:val="20"/>
        </w:rPr>
        <w:t>Item 3. Key Information—D. Risk Factors—Risks Related to Doing Business in the PRC—Restrictions on the remittance of Renminbi into and out of China and governmental control of currency conversion may limit our ability to pay dividends and other obligations, and affect the value of your investment</w:t>
      </w:r>
      <w:r>
        <w:rPr>
          <w:rFonts w:ascii="Times New Roman;Times;Serif" w:hAnsi="Times New Roman;Times;Serif"/>
          <w:b w:val="false"/>
          <w:i w:val="false"/>
          <w:caps w:val="false"/>
          <w:smallCaps w:val="false"/>
          <w:sz w:val="20"/>
        </w:rPr>
        <w:t>” in the 2025 Annual Report, which is incorporated by reference into this prospectus. Additionally, to the extent cash or assets in the business is in China or a Chinese operating entity, the funds or assets may not be available to fund operations or for other use outside of China due to interventions in or the imposition of restrictions and limitations on the ability of our Company or the operating entities by the PRC government to transfer cash or assets. See “</w:t>
      </w:r>
      <w:r>
        <w:rPr>
          <w:rFonts w:ascii="Times New Roman;Times;Serif" w:hAnsi="Times New Roman;Times;Serif"/>
          <w:b w:val="false"/>
          <w:i/>
          <w:caps w:val="false"/>
          <w:smallCaps w:val="false"/>
          <w:sz w:val="2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Cuizhang Gong beneficially owns 10,000,000, or 100%, of our Class B ordinary shares through YITONG ASIA INVESTMENT PTE. LTD., an exempt private company limited by shares incorporated in Singapore that is 100% owned by Cuizhang Gong. As a result, Cuizhang Gong owns more than a majority of the aggregate voting power of our issued and outstanding ordinary shares. As such, we are a “controlled company” under Nasdaq Listing Rule 5615 and are allowed to follow certain exemptions afforded to a “controlled company” under the Nasdaq Listing Rules. However, we do not intend to avail ourselves of such corporate governance exemptions. See “</w:t>
      </w:r>
      <w:r>
        <w:rPr>
          <w:rFonts w:ascii="Times New Roman;Times;Serif" w:hAnsi="Times New Roman;Times;Serif"/>
          <w:b w:val="false"/>
          <w:i/>
          <w:caps w:val="false"/>
          <w:smallCaps w:val="false"/>
          <w:sz w:val="20"/>
        </w:rPr>
        <w:t>Item 3. Key Information—D. Risk Factors—Risks Related to Our Class A Ordinary Shares and the Trading Market—Since we are a ‘controlled company’ within the meaning of the Nasdaq listing rules, we may follow certain exemptions from certain corporate governance requirements that could adversely affect our public shareholders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applicable U.S. securities laws and are eligible for reduced public company reporting requirements. See “</w:t>
      </w:r>
      <w:r>
        <w:rPr>
          <w:rFonts w:ascii="Times New Roman;Times;Serif" w:hAnsi="Times New Roman;Times;Serif"/>
          <w:b w:val="false"/>
          <w:i/>
          <w:caps w:val="false"/>
          <w:smallCaps w:val="false"/>
          <w:sz w:val="20"/>
        </w:rPr>
        <w:t>Item 3. Key Information—D. Risk Factors—Risks Related to Our Class A Ordinary Shares and the Trading Market—For as long as we are an emerging growth company, we will not be required to comply with certain reporting requirements, including those relating to accounting standards and disclosure about our executive compensation, that apply to other public companies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 Key Information—D. Risk Factors—Risks Related to Our Class A Ordinary Shares and the Trading Market—We are a foreign private issuer within the meaning of the rules under the Exchange Act, and as such we are exempt from certain provisions applicable to U.S. domestic public companies</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 February 2,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5495"/>
        <w:gridCol w:w="530"/>
      </w:tblGrid>
      <w:tr>
        <w:trPr/>
        <w:tc>
          <w:tcPr>
            <w:tcW w:w="5495"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549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2">
              <w:r>
                <w:rPr>
                  <w:rStyle w:val="InternetLink"/>
                </w:rPr>
                <w:t>Commonly Used Defined Terms</w:t>
              </w:r>
            </w:hyperlink>
          </w:p>
        </w:tc>
        <w:tc>
          <w:tcPr>
            <w:tcW w:w="530" w:type="dxa"/>
            <w:tcBorders/>
            <w:shd w:fill="CCEEFF" w:val="clear"/>
            <w:vAlign w:val="center"/>
          </w:tcPr>
          <w:p>
            <w:pPr>
              <w:pStyle w:val="TableContents"/>
              <w:bidi w:val="0"/>
              <w:spacing w:before="0" w:after="283"/>
              <w:jc w:val="center"/>
              <w:rPr/>
            </w:pPr>
            <w:r>
              <w:rPr/>
              <w:t>iii</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3">
              <w:r>
                <w:rPr>
                  <w:rStyle w:val="InternetLink"/>
                </w:rPr>
                <w:t>Cautionary Note Regarding Forward-Looking Statements</w:t>
              </w:r>
            </w:hyperlink>
          </w:p>
        </w:tc>
        <w:tc>
          <w:tcPr>
            <w:tcW w:w="530" w:type="dxa"/>
            <w:tcBorders/>
            <w:shd w:fill="CCEEFF" w:val="clear"/>
            <w:vAlign w:val="center"/>
          </w:tcPr>
          <w:p>
            <w:pPr>
              <w:pStyle w:val="TableContents"/>
              <w:bidi w:val="0"/>
              <w:spacing w:before="0" w:after="283"/>
              <w:jc w:val="center"/>
              <w:rPr/>
            </w:pPr>
            <w:r>
              <w:rPr/>
              <w:t>iv</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4">
              <w:r>
                <w:rPr>
                  <w:rStyle w:val="InternetLink"/>
                </w:rPr>
                <w:t>Prospectus Summary</w:t>
              </w:r>
            </w:hyperlink>
          </w:p>
        </w:tc>
        <w:tc>
          <w:tcPr>
            <w:tcW w:w="530" w:type="dxa"/>
            <w:tcBorders/>
            <w:shd w:fill="CCEEFF" w:val="clear"/>
            <w:vAlign w:val="center"/>
          </w:tcPr>
          <w:p>
            <w:pPr>
              <w:pStyle w:val="TableContents"/>
              <w:bidi w:val="0"/>
              <w:spacing w:before="0" w:after="283"/>
              <w:jc w:val="center"/>
              <w:rPr/>
            </w:pPr>
            <w:r>
              <w:rPr/>
              <w:t>1</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530" w:type="dxa"/>
            <w:tcBorders/>
            <w:shd w:fill="CCEEFF" w:val="clear"/>
            <w:vAlign w:val="center"/>
          </w:tcPr>
          <w:p>
            <w:pPr>
              <w:pStyle w:val="TableContents"/>
              <w:bidi w:val="0"/>
              <w:spacing w:before="0" w:after="283"/>
              <w:jc w:val="center"/>
              <w:rPr/>
            </w:pPr>
            <w:r>
              <w:rPr/>
              <w:t>11</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6">
              <w:r>
                <w:rPr>
                  <w:rStyle w:val="InternetLink"/>
                </w:rPr>
                <w:t>Offer Statistics and Expected Timetable</w:t>
              </w:r>
            </w:hyperlink>
          </w:p>
        </w:tc>
        <w:tc>
          <w:tcPr>
            <w:tcW w:w="530" w:type="dxa"/>
            <w:tcBorders/>
            <w:shd w:fill="CCEEFF" w:val="clear"/>
            <w:vAlign w:val="center"/>
          </w:tcPr>
          <w:p>
            <w:pPr>
              <w:pStyle w:val="TableContents"/>
              <w:bidi w:val="0"/>
              <w:spacing w:before="0" w:after="283"/>
              <w:jc w:val="center"/>
              <w:rPr/>
            </w:pPr>
            <w:r>
              <w:rPr/>
              <w:t>12</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7">
              <w:r>
                <w:rPr>
                  <w:rStyle w:val="InternetLink"/>
                </w:rPr>
                <w:t>Capitalization and Indebtedness</w:t>
              </w:r>
            </w:hyperlink>
          </w:p>
        </w:tc>
        <w:tc>
          <w:tcPr>
            <w:tcW w:w="530" w:type="dxa"/>
            <w:tcBorders/>
            <w:shd w:fill="CCEEFF" w:val="clear"/>
            <w:vAlign w:val="center"/>
          </w:tcPr>
          <w:p>
            <w:pPr>
              <w:pStyle w:val="TableContents"/>
              <w:bidi w:val="0"/>
              <w:spacing w:before="0" w:after="283"/>
              <w:jc w:val="center"/>
              <w:rPr/>
            </w:pPr>
            <w:r>
              <w:rPr/>
              <w:t>12</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8">
              <w:r>
                <w:rPr>
                  <w:rStyle w:val="InternetLink"/>
                </w:rPr>
                <w:t>Dilution</w:t>
              </w:r>
            </w:hyperlink>
          </w:p>
        </w:tc>
        <w:tc>
          <w:tcPr>
            <w:tcW w:w="530" w:type="dxa"/>
            <w:tcBorders/>
            <w:shd w:fill="CCEEFF" w:val="clear"/>
            <w:vAlign w:val="center"/>
          </w:tcPr>
          <w:p>
            <w:pPr>
              <w:pStyle w:val="TableContents"/>
              <w:bidi w:val="0"/>
              <w:spacing w:before="0" w:after="283"/>
              <w:jc w:val="center"/>
              <w:rPr/>
            </w:pPr>
            <w:r>
              <w:rPr/>
              <w:t>12</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9">
              <w:r>
                <w:rPr>
                  <w:rStyle w:val="InternetLink"/>
                </w:rPr>
                <w:t>Use of Proceeds</w:t>
              </w:r>
            </w:hyperlink>
          </w:p>
        </w:tc>
        <w:tc>
          <w:tcPr>
            <w:tcW w:w="530" w:type="dxa"/>
            <w:tcBorders/>
            <w:shd w:fill="CCEEFF" w:val="clear"/>
            <w:vAlign w:val="center"/>
          </w:tcPr>
          <w:p>
            <w:pPr>
              <w:pStyle w:val="TableContents"/>
              <w:bidi w:val="0"/>
              <w:spacing w:before="0" w:after="283"/>
              <w:jc w:val="center"/>
              <w:rPr/>
            </w:pPr>
            <w:r>
              <w:rPr/>
              <w:t>12</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0">
              <w:r>
                <w:rPr>
                  <w:rStyle w:val="InternetLink"/>
                </w:rPr>
                <w:t>Description of Share Capital</w:t>
              </w:r>
            </w:hyperlink>
          </w:p>
        </w:tc>
        <w:tc>
          <w:tcPr>
            <w:tcW w:w="530" w:type="dxa"/>
            <w:tcBorders/>
            <w:shd w:fill="CCEEFF" w:val="clear"/>
            <w:vAlign w:val="center"/>
          </w:tcPr>
          <w:p>
            <w:pPr>
              <w:pStyle w:val="TableContents"/>
              <w:bidi w:val="0"/>
              <w:spacing w:before="0" w:after="283"/>
              <w:jc w:val="center"/>
              <w:rPr/>
            </w:pPr>
            <w:r>
              <w:rPr/>
              <w:t>13</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1">
              <w:r>
                <w:rPr>
                  <w:rStyle w:val="InternetLink"/>
                </w:rPr>
                <w:t>Description of Debt Securities</w:t>
              </w:r>
            </w:hyperlink>
          </w:p>
        </w:tc>
        <w:tc>
          <w:tcPr>
            <w:tcW w:w="530" w:type="dxa"/>
            <w:tcBorders/>
            <w:shd w:fill="CCEEFF" w:val="clear"/>
            <w:vAlign w:val="center"/>
          </w:tcPr>
          <w:p>
            <w:pPr>
              <w:pStyle w:val="TableContents"/>
              <w:bidi w:val="0"/>
              <w:spacing w:before="0" w:after="283"/>
              <w:jc w:val="center"/>
              <w:rPr/>
            </w:pPr>
            <w:r>
              <w:rPr/>
              <w:t>14</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2">
              <w:r>
                <w:rPr>
                  <w:rStyle w:val="InternetLink"/>
                </w:rPr>
                <w:t>Description of Warrants</w:t>
              </w:r>
            </w:hyperlink>
          </w:p>
        </w:tc>
        <w:tc>
          <w:tcPr>
            <w:tcW w:w="530" w:type="dxa"/>
            <w:tcBorders/>
            <w:shd w:fill="CCEEFF" w:val="clear"/>
            <w:vAlign w:val="center"/>
          </w:tcPr>
          <w:p>
            <w:pPr>
              <w:pStyle w:val="TableContents"/>
              <w:bidi w:val="0"/>
              <w:spacing w:before="0" w:after="283"/>
              <w:jc w:val="center"/>
              <w:rPr/>
            </w:pPr>
            <w:r>
              <w:rPr/>
              <w:t>15</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3">
              <w:r>
                <w:rPr>
                  <w:rStyle w:val="InternetLink"/>
                </w:rPr>
                <w:t>Description of Rights</w:t>
              </w:r>
            </w:hyperlink>
          </w:p>
        </w:tc>
        <w:tc>
          <w:tcPr>
            <w:tcW w:w="530" w:type="dxa"/>
            <w:tcBorders/>
            <w:shd w:fill="CCEEFF" w:val="clear"/>
            <w:vAlign w:val="center"/>
          </w:tcPr>
          <w:p>
            <w:pPr>
              <w:pStyle w:val="TableContents"/>
              <w:bidi w:val="0"/>
              <w:spacing w:before="0" w:after="283"/>
              <w:jc w:val="center"/>
              <w:rPr/>
            </w:pPr>
            <w:r>
              <w:rPr/>
              <w:t>17</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4">
              <w:r>
                <w:rPr>
                  <w:rStyle w:val="InternetLink"/>
                </w:rPr>
                <w:t>Description of Units</w:t>
              </w:r>
            </w:hyperlink>
          </w:p>
        </w:tc>
        <w:tc>
          <w:tcPr>
            <w:tcW w:w="530" w:type="dxa"/>
            <w:tcBorders/>
            <w:shd w:fill="CCEEFF" w:val="clear"/>
            <w:vAlign w:val="center"/>
          </w:tcPr>
          <w:p>
            <w:pPr>
              <w:pStyle w:val="TableContents"/>
              <w:bidi w:val="0"/>
              <w:spacing w:before="0" w:after="283"/>
              <w:jc w:val="center"/>
              <w:rPr/>
            </w:pPr>
            <w:r>
              <w:rPr/>
              <w:t>18</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5">
              <w:r>
                <w:rPr>
                  <w:rStyle w:val="InternetLink"/>
                </w:rPr>
                <w:t>Plan of Distribution</w:t>
              </w:r>
            </w:hyperlink>
          </w:p>
        </w:tc>
        <w:tc>
          <w:tcPr>
            <w:tcW w:w="530" w:type="dxa"/>
            <w:tcBorders/>
            <w:shd w:fill="CCEEFF" w:val="clear"/>
            <w:vAlign w:val="center"/>
          </w:tcPr>
          <w:p>
            <w:pPr>
              <w:pStyle w:val="TableContents"/>
              <w:bidi w:val="0"/>
              <w:spacing w:before="0" w:after="283"/>
              <w:jc w:val="center"/>
              <w:rPr/>
            </w:pPr>
            <w:r>
              <w:rPr/>
              <w:t>19</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6">
              <w:r>
                <w:rPr>
                  <w:rStyle w:val="InternetLink"/>
                </w:rPr>
                <w:t>Taxation</w:t>
              </w:r>
            </w:hyperlink>
          </w:p>
        </w:tc>
        <w:tc>
          <w:tcPr>
            <w:tcW w:w="530" w:type="dxa"/>
            <w:tcBorders/>
            <w:shd w:fill="CCEEFF" w:val="clear"/>
            <w:vAlign w:val="center"/>
          </w:tcPr>
          <w:p>
            <w:pPr>
              <w:pStyle w:val="TableContents"/>
              <w:bidi w:val="0"/>
              <w:spacing w:before="0" w:after="283"/>
              <w:jc w:val="center"/>
              <w:rPr/>
            </w:pPr>
            <w:r>
              <w:rPr/>
              <w:t>21</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7">
              <w:r>
                <w:rPr>
                  <w:rStyle w:val="InternetLink"/>
                </w:rPr>
                <w:t>Expenses</w:t>
              </w:r>
            </w:hyperlink>
          </w:p>
        </w:tc>
        <w:tc>
          <w:tcPr>
            <w:tcW w:w="530" w:type="dxa"/>
            <w:tcBorders/>
            <w:shd w:fill="CCEEFF" w:val="clear"/>
            <w:vAlign w:val="center"/>
          </w:tcPr>
          <w:p>
            <w:pPr>
              <w:pStyle w:val="TableContents"/>
              <w:bidi w:val="0"/>
              <w:spacing w:before="0" w:after="283"/>
              <w:jc w:val="center"/>
              <w:rPr/>
            </w:pPr>
            <w:r>
              <w:rPr/>
              <w:t>21</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8">
              <w:r>
                <w:rPr>
                  <w:rStyle w:val="InternetLink"/>
                </w:rPr>
                <w:t>Material Contracts</w:t>
              </w:r>
            </w:hyperlink>
          </w:p>
        </w:tc>
        <w:tc>
          <w:tcPr>
            <w:tcW w:w="530" w:type="dxa"/>
            <w:tcBorders/>
            <w:shd w:fill="CCEEFF" w:val="clear"/>
            <w:vAlign w:val="center"/>
          </w:tcPr>
          <w:p>
            <w:pPr>
              <w:pStyle w:val="TableContents"/>
              <w:bidi w:val="0"/>
              <w:spacing w:before="0" w:after="283"/>
              <w:jc w:val="center"/>
              <w:rPr/>
            </w:pPr>
            <w:r>
              <w:rPr/>
              <w:t>22</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9">
              <w:r>
                <w:rPr>
                  <w:rStyle w:val="InternetLink"/>
                </w:rPr>
                <w:t>Material Changes</w:t>
              </w:r>
            </w:hyperlink>
          </w:p>
        </w:tc>
        <w:tc>
          <w:tcPr>
            <w:tcW w:w="530" w:type="dxa"/>
            <w:tcBorders/>
            <w:shd w:fill="CCEEFF" w:val="clear"/>
            <w:vAlign w:val="center"/>
          </w:tcPr>
          <w:p>
            <w:pPr>
              <w:pStyle w:val="TableContents"/>
              <w:bidi w:val="0"/>
              <w:spacing w:before="0" w:after="283"/>
              <w:jc w:val="center"/>
              <w:rPr/>
            </w:pPr>
            <w:r>
              <w:rPr/>
              <w:t>22</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0">
              <w:r>
                <w:rPr>
                  <w:rStyle w:val="InternetLink"/>
                </w:rPr>
                <w:t>Legal Matters</w:t>
              </w:r>
            </w:hyperlink>
          </w:p>
        </w:tc>
        <w:tc>
          <w:tcPr>
            <w:tcW w:w="530" w:type="dxa"/>
            <w:tcBorders/>
            <w:shd w:fill="CCEEFF" w:val="clear"/>
            <w:vAlign w:val="center"/>
          </w:tcPr>
          <w:p>
            <w:pPr>
              <w:pStyle w:val="TableContents"/>
              <w:bidi w:val="0"/>
              <w:spacing w:before="0" w:after="283"/>
              <w:jc w:val="center"/>
              <w:rPr/>
            </w:pPr>
            <w:r>
              <w:rPr/>
              <w:t>22</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1">
              <w:r>
                <w:rPr>
                  <w:rStyle w:val="InternetLink"/>
                </w:rPr>
                <w:t>Experts</w:t>
              </w:r>
            </w:hyperlink>
          </w:p>
        </w:tc>
        <w:tc>
          <w:tcPr>
            <w:tcW w:w="530" w:type="dxa"/>
            <w:tcBorders/>
            <w:shd w:fill="CCEEFF" w:val="clear"/>
            <w:vAlign w:val="center"/>
          </w:tcPr>
          <w:p>
            <w:pPr>
              <w:pStyle w:val="TableContents"/>
              <w:bidi w:val="0"/>
              <w:spacing w:before="0" w:after="283"/>
              <w:jc w:val="center"/>
              <w:rPr/>
            </w:pPr>
            <w:r>
              <w:rPr/>
              <w:t>22</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2">
              <w:r>
                <w:rPr>
                  <w:rStyle w:val="InternetLink"/>
                </w:rPr>
                <w:t>Incorporation of Documents by Reference</w:t>
              </w:r>
            </w:hyperlink>
          </w:p>
        </w:tc>
        <w:tc>
          <w:tcPr>
            <w:tcW w:w="530" w:type="dxa"/>
            <w:tcBorders/>
            <w:shd w:fill="CCEEFF" w:val="clear"/>
            <w:vAlign w:val="center"/>
          </w:tcPr>
          <w:p>
            <w:pPr>
              <w:pStyle w:val="TableContents"/>
              <w:bidi w:val="0"/>
              <w:spacing w:before="0" w:after="283"/>
              <w:jc w:val="center"/>
              <w:rPr/>
            </w:pPr>
            <w:r>
              <w:rPr/>
              <w:t>23</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3">
              <w:r>
                <w:rPr>
                  <w:rStyle w:val="InternetLink"/>
                </w:rPr>
                <w:t>Where You Can Find Additional Information</w:t>
              </w:r>
            </w:hyperlink>
          </w:p>
        </w:tc>
        <w:tc>
          <w:tcPr>
            <w:tcW w:w="530" w:type="dxa"/>
            <w:tcBorders/>
            <w:shd w:fill="CCEEFF" w:val="clear"/>
            <w:vAlign w:val="center"/>
          </w:tcPr>
          <w:p>
            <w:pPr>
              <w:pStyle w:val="TableContents"/>
              <w:bidi w:val="0"/>
              <w:spacing w:before="0" w:after="283"/>
              <w:jc w:val="center"/>
              <w:rPr/>
            </w:pPr>
            <w:r>
              <w:rPr/>
              <w:t>24</w:t>
            </w:r>
          </w:p>
        </w:tc>
      </w:tr>
      <w:tr>
        <w:trPr/>
        <w:tc>
          <w:tcPr>
            <w:tcW w:w="54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4">
              <w:r>
                <w:rPr>
                  <w:rStyle w:val="InternetLink"/>
                </w:rPr>
                <w:t>Enforceability of Civil Liabilities</w:t>
              </w:r>
            </w:hyperlink>
          </w:p>
        </w:tc>
        <w:tc>
          <w:tcPr>
            <w:tcW w:w="530" w:type="dxa"/>
            <w:tcBorders/>
            <w:shd w:fill="CCEEFF" w:val="clear"/>
            <w:vAlign w:val="center"/>
          </w:tcPr>
          <w:p>
            <w:pPr>
              <w:pStyle w:val="TableContents"/>
              <w:bidi w:val="0"/>
              <w:spacing w:before="0" w:after="283"/>
              <w:jc w:val="center"/>
              <w:rPr/>
            </w:pPr>
            <w:r>
              <w:rPr/>
              <w:t>24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1"/>
      <w:bookmarkEnd w:id="15"/>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utilizing a “shelf” registration process. Under this shelf registration process, we may, from time to time, sell the securities described in this prospectus in one or more offerings, up to a total offering amount of $200,000,000.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This prospectus and any accompanying prospectus supplement do not contain all the information included in the registration statement. We have omitted parts of the registration statement in accordance with the rules and regulations of the SEC. Statements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 matters. You should read both this prospectus and any prospectus supplement or other offering materials together with additional information described under the headings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before investing in any of the securities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under this shelf registration, we will provide a prospectus supplement that will contain certain specific information about the terms of that offering, including a description of any risks related to the offering. A prospectus supplement may also add, update, or change information contained in this prospectus (including documents incorporated herein by reference).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before investing in any of the securities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prospectus is accurate as of the date on the front cover. The information incorporated by reference into this prospectus is accurate as of the date of the document from which the information is incorporated. You should not assume that the information contained in this prospectus is accurate as of any 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provided or incorporated by reference in this prospectus or in the prospectus supplement. We have not authorized anyone to provide you with additional or different information. This document may only be used where it is legal to sell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under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2"/>
      <w:bookmarkEnd w:id="16"/>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or in a prospectus supplement to:</w:t>
      </w:r>
    </w:p>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75"/>
        <w:gridCol w:w="170"/>
        <w:gridCol w:w="9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pPr>
            <w:r>
              <w:rPr/>
              <w:t>“</w:t>
            </w:r>
            <w:r>
              <w:rPr/>
              <w:t>BVI” are to the British Virgin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pPr>
            <w:r>
              <w:rPr/>
              <w:t>“</w:t>
            </w:r>
            <w:r>
              <w:rPr/>
              <w:t>China” and the “PRC” are to the People’s Republic of China;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pPr>
            <w:r>
              <w:rPr/>
              <w:t>“</w:t>
            </w:r>
            <w:r>
              <w:rPr/>
              <w:t>Class A Ordinary Shares” are to Class A ordinary shares of par value of $1.875 each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Class B Ordinary Shares” are to Class B ordinary shares of par value of $1.875 each of the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Exchange Act” are to the Securities Exchange Act of 1934, as amended;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Nasdaq” are to Nasdaq Stock Market LLC;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operating entities” are to the seven subsidiaries that conduct our operations in China, consisting of Nanping Golden Heaven Amusement Park Management Co., Ltd., Changde Jinsheng Amusement Development Co., Ltd., Qujing Jinsheng Amusement Investment Co., Ltd., Tongling Jinsheng Amusement Investment Co., Ltd., Yuxi Jinsheng Amusement Development Co., Ltd., Yueyang Jinsheng Amusement Development Co., Ltd., and Mangshi Jinsheng Amusement Park Co., Ltd.;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ordinary shares” are, collectively, to the Class A Ordinary Shares and Class B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RMB” and “Renminbi” are to the legal currency of China;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SEC” are to the United States Securities and Exchange Commission;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Securities Act” are to the Securities Act of 1933, as amended;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U.S.”, “US” or “United States” are to United States of America, its territories, its possessions and all areas subject to its jurisdiction;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US$,” “$,” “USD” and “U.S. dollars” are to the legal currency of the United States;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we,” “the Company,” “us,” “our company,” “our” are to Golden Heaven Group Holdings Ltd., our Cayman Islands holding company, unless the context suggests otherwise, and also includes its subsidiaries when describing the consolidated financial information of Golden Heaven Group Holdings Ltd.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3"/>
      <w:bookmarkEnd w:id="17"/>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 applicable prospectus supplement, and our SEC filings that are incorporated by reference into this prospectus contain or incorporate by reference forward-looking statements within the meaning of Section 27A of the Securities Act of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18" w:name="a_004"/>
      <w:bookmarkEnd w:id="18"/>
      <w:r>
        <w:rPr>
          <w:rFonts w:ascii="Times New Roman;Times;Serif" w:hAnsi="Times New Roman;Times;Serif"/>
          <w:b/>
          <w:i w:val="false"/>
          <w:caps/>
          <w:sz w:val="20"/>
          <w:bdr w:val="single" w:sz="12" w:space="1" w:color="000000"/>
        </w:rPr>
        <w:t>Prospectus Summary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Structure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conduct our operations in China through Nanping Golden Heaven Amusement Park Management Co., Ltd. (“Golden Heaven WFOE”) and its subsidiaries. Golden Heaven WFOE was established as a limited liability company in the PRC on December 14, 2020. Golden Heaven WFOE has 100% equity interests in the following PRC subsidiaries: (i) Changde Jinsheng Amusement Development Co., Ltd., a limited liability company established in the PRC on November 13, 2013, (ii) Qujing Jinsheng Amusement Investment Co., Ltd., a limited liability company established in the PRC on January 28, 2015, (iii) Tongling Jinsheng Amusement Investment Co., Ltd., a limited liability company established in the PRC on April 16, 2015, (iv) Yuxi Jinsheng Amusement Development Co., Ltd., a limited liability company established in the PRC on August 6, 2008, (v) Yueyang Jinsheng Amusement Development Co., Ltd., a limited liability company established in the PRC on April 16, 2015, and (vi) Mangshi Jinsheng Amusement Park Co., Ltd., a limited liability company established in the PRC on July 25, 2017.</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incorporated Golden Heaven Group Holdings Ltd. (“Golden Heaven Cayman”) as an exempted company under the laws of the Cayman Islands on January 8, 2020. We incorporated Golden Heaven Management Ltd (“Golden Heaven BVI”) under the laws of the British Virgin Islands on February 18, 2020, which entity became a wholly owned subsidiary of Golden Heaven Cayman. We incorporated Golden Heaven Group Management Limited (“Golden Heaven HK”) in Hong Kong on February 26, 2020, which entity became a wholly owned subsidiary of Golden Heaven BVI. Golden Heaven HK holds all of the outstanding equity of Golden Heaven WFOE.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hold 100% equity interests in our PRC subsidiaries, and we do not use a VIE structure. Investors are purchasing securities of the holding company, Golden Heaven Cayman, instead of securities of our operating entities. The following diagram illustrates our corporate structure as of the date of this prospectus supplement and prior to the closing of this offering. All percentages in the following diagram reflect the voting interests instead of the equity interests held by each of our shareholders, given that each holder of Class B Ordinary Shares will be entitled to two hundred (200) votes per one Class B Ordinary Share and each holder of Class A Ordinary Shares will be entitled to one vote per one Class A Ordinary Share.</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drawing>
          <wp:inline distT="0" distB="0" distL="0" distR="0">
            <wp:extent cx="5905500" cy="3133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5905500" cy="3133725"/>
                    </a:xfrm>
                    <a:prstGeom prst="rect">
                      <a:avLst/>
                    </a:prstGeom>
                  </pic:spPr>
                </pic:pic>
              </a:graphicData>
            </a:graphic>
          </wp:inline>
        </w:drawing>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offshore holding company incorporated in the Cayman Islands. Through the operating entities in China, we manage and operate amusement parks, water parks and complementary recreational facilities. The parks offer a broad selection of exhilarating and recreational experiences, including both thrilling and family-friendly rides, water attractions, gourmet festivals, circus performances, and high-tech facilities.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revenue is primarily generated from the Chinese operating entities’ selling access to rides and attractions, charging fees for special event rentals, and collecting regular rental payments from commercial tenants. Our revenue and net income have remained largely stable over the years. For the fiscal years ended September 30, 2025, 2024, and 2023, our revenue was US$15,288,195, US$22,333,251 and US$31,786,802, respectively, our net (loss)/income was US$(8,593,406), US$ (1,796,552) and US$6,549,584, respectively, and the number of guest visits at the parks totaled approximately 0.29 million, 1.32 million and 1.87 million, respectively. Our business is discussed more fully under “</w:t>
      </w:r>
      <w:r>
        <w:rPr>
          <w:rFonts w:ascii="Times New Roman;Times;Serif" w:hAnsi="Times New Roman;Times;Serif"/>
          <w:b w:val="false"/>
          <w:i/>
          <w:caps w:val="false"/>
          <w:smallCaps w:val="false"/>
          <w:sz w:val="20"/>
          <w:bdr w:val="single" w:sz="12" w:space="1" w:color="000000"/>
        </w:rPr>
        <w:t>Item 4. Information on the Company—B. Business Overview</w:t>
      </w:r>
      <w:r>
        <w:rPr>
          <w:rFonts w:ascii="Times New Roman;Times;Serif" w:hAnsi="Times New Roman;Times;Serif"/>
          <w:b w:val="false"/>
          <w:i w:val="false"/>
          <w:caps w:val="false"/>
          <w:smallCaps w:val="false"/>
          <w:sz w:val="20"/>
          <w:bdr w:val="single" w:sz="12" w:space="1" w:color="000000"/>
        </w:rPr>
        <w:t>” in the 2025 Annual Report.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Investing in our securities involves significant risks. You should carefully consider all of the information in this prospectus before making an investment in our securities. Below please find a summary of the principal risks we face, organized under relevant headings. These risks are discussed more fully under “</w:t>
      </w:r>
      <w:r>
        <w:rPr>
          <w:rFonts w:ascii="Times New Roman;Times;Serif" w:hAnsi="Times New Roman;Times;Serif"/>
          <w:b w:val="false"/>
          <w:i/>
          <w:caps w:val="false"/>
          <w:smallCaps w:val="false"/>
          <w:sz w:val="20"/>
          <w:bdr w:val="single" w:sz="12" w:space="1" w:color="000000"/>
        </w:rPr>
        <w:t>Item 3. Key Information—D. Risk Factors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Doing Business in the PRC (for a more detailed discussion, see “Item 3. Key Information—D. Risk Factors—Risks Related to Doing Business in the PRC” in the 2025 Annual Report, which is incorporated by reference into this prospectus)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face risks and uncertainties related to doing business in the PRC in general, including, but not limited to, the following: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adverse changes in economic, political and social conditions of the PRC government could have a material adverse effect on the operating entities’ business (see page 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legal system of the PRC is not fully developed and there are inherent uncertainties that may affect the protection afforded to the operating entities’ business and our shareholders (see page 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Chinese government exerts substantial influence over the manner in which the operating entities conduct their business activities, may intervene or influence such operations at any time, or may exert more control over offerings conducted overseas and/or foreign investment in China-based issuers, which could result in a material change in such operations and the value of our securities, significantly limit or completely hinder our ability to offer or continue to offer securities to investors, and cause the value of our securities to significantly decline or be worthless (see page 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failing to obtain the approval from the National Development and Reform Commission of the PRC (the “NDRC”)’s provincial counterparts or other PRC government authorities may have an adverse effect on the operating entities’ business activities (see page 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approval and/or other requirements of the China Securities Regulatory Commission (the “CSRC”) or other PRC government authorities may be required in connection with offerings under PRC rules, regulations or policies, and, if required, we cannot predict whether or how soon we will be able to obtain such approval. (see page 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recent greater oversight by the Cyberspace Administration of China (the “CAC”) over data security could adversely impact the operating entities’ business (see page 4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PRC regulations relating to the establishment of offshore special purpose companies by PRC residents may subject the operating entities to liability or penalties, limit our ability to inject capital into the operating entities, limit the operating entities’ ability to increase their registered capital or distribute profits to us, or may otherwise adversely affect us (see page 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PRC laws and regulations establish more complex procedures for some acquisitions of PRC companies by foreign investors, which could make it more difficult for us to pursue growth through acquisitions in China (see page 5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 (see page 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PRC regulations of loans and direct investment by offshore holding companies to PRC entities may delay or prevent us from using the proceeds of our offshore financing to make loans or additional capital contributions to the operating entities, which could materially and adversely affect our liquidity and business (see page 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be exposed to liabilities under the Foreign Corrupt Practices Act and Chinese anti-corruption laws. business (see page 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restrictions on the remittance of Renminbi into and out of China and governmental control of currency conversion may limit our ability to pay dividends and other obligations, and affect the value of your investment (see page 7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fluctuations in exchange rates could result in foreign currency exchange losses (see page 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enforcement of the PRC Labor Contract Law and other labor-related regulations in the PRC may adversely affect the operating entities’ business and results of operations (see page 8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custodians or authorized users of our controlling non-tangible assets, including chops and seals, may fail to fulfill their responsibilities, or misappropriate or misuse these assets (see page 8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classified as a PRC resident enterprise for PRC income tax purposes, such classification could result in unfavorable tax consequences to us and our non-PRC shareholders (see page 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operating entities’ business may be materially and adversely affected if any of the operating entities declares bankruptcy or becomes subject to a dissolution or liquidation proceeding (see page 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are not in compliance with the relevant PRC tax laws and regulations, our financial condition and results of operations may be negatively affected (see page 10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become directly subject to the recent scrutiny, criticism and negative publicity involving U.S.-listed Chinese companies, we may have to expend significant resources to investigate and resolve the matter which could harm our operations and reputation and could result in a loss of your investment in our securities, especially if such matter cannot be addressed and resolved favorably (see page 10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it may be difficult for overseas regulators to conduct investigation or collect evidence within China (see page 10 of the 2025 Annual Report);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you may experience difficulties in effecting service of legal process, enforcing foreign judgments or bringing actions in China against us or our management based on foreign laws (see page 10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Business and Industry (for a more detailed discussion, see “Item 3. Key Information—D. Risk Factors—Risks Related to Our Business and Industry” in the 2025 Annual Report)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business include, but are not limited to, the following: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may not be able to maintain or increase the cost-effectiveness of their entertainment offerings (see page 11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declines in discretionary guest spending and guest confidence, or changes in guest tastes and preferences, could affect the profitability of the operating entities’ business (see page 11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operating entities may be unable to contract with third-party suppliers for rides and attractions, and construction delays may occur and impact attraction openings (see page 11 of the 2025 Annual Report);</w:t>
            </w:r>
          </w:p>
        </w:tc>
      </w:tr>
    </w:tbl>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have entered into long-term lease arrangements, which involve risks and uncertainties. A failure of such arrangement could have a material adverse effect on our business and results of operations (see page 11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ensure tenant performance and collect rent under our leases, our revenues and cash flows may be materially adversely affected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prevent impairment of leased amusement assets through adequate maintenance, compliance and modernization, we may incur significant charges and reduced returns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renew expiring leases or re-lease assets on favorable terms, we may experience vacancies, higher capital expenditures and lower profitability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prevent or remediate tenant misconduct and non-compliance, we may face legal liability, regulatory actions and reputational harm (see page 12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maintain PRC land-use rights and comply with government leasing policies, we may be required to terminate operations and incur significant disposal and restoration costs (see page 13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withstand macroeconomic and cultural tourism demand fluctuations-particularly under revenue-sharing rent structures-our rental income and collections may decline (see page 13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adapt to technological change and evolving visitor preferences, our assets may lose competitiveness, leading to reduced rental income and potential early lease terminations (see page 13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are unable to secure reliable third-party suppliers and manage construction and maintenance schedules, attraction openings may be delayed and tenant operations-and our rent collections-may be disrupted (see page 13 of the 2025 Annual Report);</w:t>
            </w:r>
          </w:p>
        </w:tc>
      </w:tr>
    </w:tbl>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financial distress experienced by business partners and other contract counterparties could have an adverse impact on the operating entities (see page 14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high fixed cost structure of park operations can result in significantly lower margins if revenues decline (see page 14 of the 2025 Annual Report);</w:t>
            </w:r>
          </w:p>
        </w:tc>
      </w:tr>
    </w:tbl>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are unable to conduct marketing activities in a cost-effective manner, our results of operations and financial condition may be materially and adversely affected (see page 14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operate in a competitive industry and their revenues, profits or market share could be harmed if they are unable to compete effectively (see page 14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historical financial and operating results are not indicative of future performance and our financial and operating results may fluctuate (see page 15 of the 2025 Annual Report);</w:t>
            </w:r>
          </w:p>
        </w:tc>
      </w:tr>
    </w:tbl>
    <w:p>
      <w:pPr>
        <w:pStyle w:val="TextBody"/>
        <w:bidi w:val="0"/>
        <w:jc w:val="left"/>
        <w:rPr>
          <w:bdr w:val="single" w:sz="12" w:space="1" w:color="000000"/>
        </w:rPr>
      </w:pPr>
      <w:r>
        <w:rPr>
          <w:bdr w:val="single" w:sz="12" w:space="1" w:color="000000"/>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may not be able to fund capital investment in future projects and may not achieve the desired outcome of their growth initiatives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increased labor costs, inability to retain suitable employees, or unfavorable labor relations may adversely affect the business, financial condition or results of operations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lose key personnel, their business may be adversely affected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parks managed by the operating entities are located on leased properties, and there is no assurance that the operating entities will be able to renew the leases or find suitable alternative premises upon the expiration of the relevant lease terms (see page 15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operating entities’ intellectual property rights are infringed on by third-parties or if the operating entities are alleged or found to have infringed on the intellectual property rights of others, it may adversely affect the business of the operating entities (see page 16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operating entities’ business depends on the continued success of their brand, and if they fail to maintain and enhance the recognition of their brand, they may face difficulty expanding their business (see page 16 of the 2025 Annual Report);</w:t>
            </w:r>
          </w:p>
        </w:tc>
      </w:tr>
    </w:tbl>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incidents or adverse publicity concerning the parks or the amusement park industry in general could harm the brand, reputation or profitability of the operating entities (see page 16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adverse litigation judgments or settlements resulting from legal proceedings could reduce the profits or negatively affect the business operations of the operating entities (see page 17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bad or extreme weather conditions can reduce park attendance (see page 17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significant revenue is generated in Hunan Province, China. Therefore, any risks affecting that area may materially adversely affect the business of the operating entities (see page 17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insurance coverage maintained by the operating entities may not be adequate to cover all possible losses and the insurance costs may increase (see page 17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or failures that impair access to information technology systems could adversely affect the business of the operating entities (see page 17 of the 2025 Annual Report); and</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COVID-19 pandemic has disrupted the operating entities’ business and will adversely affect our results of operations and various other factors beyond our control could adversely affect our financial condition and results of operations (see page 16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Class A Ordinary Shares and the Trading Market (for a more detailed discussion, see “Item 3. Key Information—D. Risk Factors—Risks Related to Our Class A Ordinary Shares and the Trading Market” in the 2025 Annual Report)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to the risks described above, we are subject to general risks and uncertainties related to our Class A Ordinary Shares and the trading market, including, but not limited to, the following: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recent joint statement by the SEC and the PCAOB proposed rule changes submitted by Nasdaq, and the Holding Foreign Companies Accountable Act passed by the U.S. Senate all call for additional and more stringent criteria to be applied to emerging market companies upon assessing the qualification of their auditors, especially the non-U.S. auditors who are not inspected by the PCAOB. These developments could add uncertainties to our future offerings (see page 18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dual class structure of our ordinary shares has the effect of concentrating voting control with our Chairman, and her interests may not be aligned with the interests of our other shareholders (see page 19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dual-class structure of our ordinary shares may adversely affect the trading market for our Class A Ordinary Shares (see page 19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since we are a “controlled company” within the meaning of the Nasdaq listing rules, we may follow certain exemptions from certain corporate governance requirements that could adversely affect our public shareholders (see page 20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trading price of the Class A Ordinary Shares is likely to be volatile, which could result in substantial losses to investors (see page 20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subject to securities class action suits (see page 21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securities or industry analysts cease to publish research or reports about our business, or if they adversely change their recommendations regarding the Class A Ordinary Shares, the market price for the Class A Ordinary Shares and trading volume could decline (see page 21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substantial future sales or perceived potential sales of the Class A Ordinary Shares in the public market could cause the price of the Class A Ordinary Shares to decline (see page 21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currently do not expect to pay dividends in the foreseeable future and you must rely on price appreciation of the Class A Ordinary Shares for return on your investment (see page 21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you may face difficulties in protecting your interests, and your ability to protect your rights through U.S. courts may be limited, because we are incorporated under Cayman Islands law (see page 22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certain judgments obtained against us by our shareholders may not be enforceable (see page 22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there can be no assurance that we will not be a passive foreign investment company (“PFIC”) for United States federal income tax purposes for any taxable year, which could subject United States holders of our Class A Ordinary Shares to significant adverse United States federal income tax consequences (see page 22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as long as we are an emerging growth company, we will not be required to comply with certain reporting requirements, including those relating to accounting standards and disclosure about our executive compensation, that apply to other public companies (see page 23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a foreign private issuer within the meaning of the rules under the Exchange Act, and as such we are exempt from certain provisions applicable to U.S. domestic public companies (see page 23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fail to establish and maintain proper internal financial reporting controls, our ability to produce accurate financial statements or comply with applicable regulations could be impaired (see page 24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disclosure controls and procedures may not prevent or detect all errors or acts of fraud (see page 24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a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corporate governance listing standards (see page 24 of the 2025 Annual Report);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requirements of being a public company may strain our resources and divert management’s attention (see page 25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lose our foreign private issuer status in the future, which could result in significant additional costs and expenses (see page 25 of the 2025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obligation to disclose information publicly may put us at a disadvantage to competitors that are private companies (see page 25 of the 2025 Annual Report);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price of our Class A Ordinary Shares could be subject to rapid and substantial volatility (see page 25 of the 2025 Annual Report).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Permissions Required from PRC Authorities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and adopting new measures to extend the scope of cybersecurity reviews.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Regulations on Mergers and Acquisitions of Domestic Enterprises by Foreign Investors (the “M&amp;A Rules”) came into effect on September 8, 2006 and were amended on June 22, 2009. The M&amp;A Rules, among other things, require that an offshore special purpose vehicle (the “SPV”), formed for overseas listing purposes and controlled directly or indirectly by PRC companies or individuals, shall obtain the approval of the China Securities Regulatory Commission (the “CSRC”) prior to listing such SPV’s securities on an overseas stock exchange, especially in the event that the SPV acquires shares or an equity interest in the PRC companies by offering the shares of any offshore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10, 2021, the Cyberspace Administration of China (the “CAC”) issued the Measures for Cybersecurity Review (Revision Draft for Comments), or the Measures, for public comments, which propose to authorize the relevant government authorities to conduct cybersecurity review on a range of activities that affect or may affect national security, including listings in foreign countries by companies that possess the personal data of more than one million users. On December 28, 2021, the Measures for Cybersecurity Review (2021 version) was promulgated and took effect on February 15, 2022, which iterates that any online platform operators controlling personal information of more than one million users which seeks to list in a foreign stock exchange should also be subject to cybersecurity review. The CAC has said that under the proposed rules companies holding data on more than 1,000,000 users must now apply for cybersecurity approval when seeking listings in other nations because of the risk that such data and personal information could be “affected, controlled, and maliciously exploited by foreign governments.”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advised by our PRC legal counsel, Fujian Mingan Law Firm, neither we nor the operating entities are subject to cybersecurity review by the CAC, since neither we nor the operating entities currently have over one million users’ personal information and do not anticipate that we will be collecting over one million users’ personal information in the foreseeable future, which we understand might otherwise subject us to the Cybersecurity Review Measures.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24, 2021, the CSRC released the Administrative Provisions of the State Council Regarding the Overseas Issuance and Listing of Securities by Domestic Enterprises (Draft for Comments) (the “Draft Administrative Provisions”) and the Measures for the Overseas Issuance of Securities and Listing Record-Filings by Domestic Enterprises (Draft for Comments) (the “Draft Filing Measures”, and collectively with the Draft Administrative Provisions, the “Draft Rules Regarding Overseas Listing”), which stipulate that Chinese-based companies, or the issuer, shall fulfill the filing procedures after the issuer makes an application for initial public offering and listing in an overseas market, and certain overseas offering and listing such as those that constitute a threat to or endanger national security, as reviewed and determined by competent authorities under the State Council in accordance with law, may be prohibited under the Draft Rules Regarding Overseas Listing. On February 17, 2023, with the approval of the State Council, the CSRC released the Trial Administrative Measures of Overseas Securities Offering and Listing by Domestic Companies (the “Trial Measures”) and five supporting guidelines, which will come into effect on March 31, 2023. According to the Trial Measures, among other requirements, (1) domestic companies that seek to offer or list securities overseas, both directly and indirectly, should fulfill the filing procedures with the CSRC; if a domestic company fails to complete the filing procedures, such domestic company may be subject to administrative penalties; (2)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and (3) companies that have already been listed on overseas stock exchanges or have obtained the approval from overseas supervision administrations or stock exchanges for their offering and listing, and that will complete their overseas offering and listing prior to September 30, 2023, are not required to make immediate filings for their listing, but are required to make such filings for subsequent offerings.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According to our PRC legal counsel, Fujian Mingan Law Firm, we are required to complete the filing procedures with the CSRC for this offering. As of the date of this prospectus, neither we nor any of the PRC subsidiaries have been subject to any investigation, or received any notice, warning, or sanction from the CSRC or other applicable government authorities related to this offering. If we are required to file with the CSRC for this offering, there is no assurance that we can complete such filing in a timely manner or even at all. Any failure by us to comply with such filing requirements may result in an order to rectify, warnings and fines against us and could materially hinder our ability to offer or continue to offer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further advised by our PRC legal counsel, Fujian Mingan Law Firm, as of the date of this prospectus, we and the operating entities have received from PRC government authorities all requisite permits or licenses needed to engage in the businesses currently conducted in China. Such permits and licenses include our Business License and Special Equipment Registration for Service and Food Business License. The following table provides details on the permits and licenses held by the operating entities.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28" w:type="dxa"/>
          <w:right w:w="0" w:type="dxa"/>
        </w:tblCellMar>
      </w:tblPr>
      <w:tblGrid>
        <w:gridCol w:w="2723"/>
        <w:gridCol w:w="60"/>
        <w:gridCol w:w="2079"/>
        <w:gridCol w:w="60"/>
        <w:gridCol w:w="3075"/>
        <w:gridCol w:w="60"/>
        <w:gridCol w:w="2148"/>
      </w:tblGrid>
      <w:tr>
        <w:trPr/>
        <w:tc>
          <w:tcPr>
            <w:tcW w:w="2723" w:type="dxa"/>
            <w:tcBorders>
              <w:bottom w:val="single" w:sz="12" w:space="0" w:color="000000"/>
            </w:tcBorders>
            <w:vAlign w:val="center"/>
          </w:tcPr>
          <w:p>
            <w:pPr>
              <w:pStyle w:val="TableContents"/>
              <w:bidi w:val="0"/>
              <w:spacing w:before="0" w:after="283"/>
              <w:ind w:left="0" w:right="0" w:hanging="180"/>
              <w:jc w:val="left"/>
              <w:rPr>
                <w:b/>
              </w:rPr>
            </w:pPr>
            <w:r>
              <w:rPr>
                <w:b/>
              </w:rPr>
              <w:t>Company</w:t>
            </w:r>
          </w:p>
        </w:tc>
        <w:tc>
          <w:tcPr>
            <w:tcW w:w="60" w:type="dxa"/>
            <w:tcBorders/>
            <w:tcMar>
              <w:bottom w:w="0" w:type="dxa"/>
            </w:tcMar>
            <w:vAlign w:val="center"/>
          </w:tcPr>
          <w:p>
            <w:pPr>
              <w:pStyle w:val="TableContents"/>
              <w:bidi w:val="0"/>
              <w:spacing w:before="0" w:after="283"/>
              <w:jc w:val="left"/>
              <w:rPr/>
            </w:pPr>
            <w:r>
              <w:rPr/>
              <w:t> </w:t>
            </w:r>
          </w:p>
        </w:tc>
        <w:tc>
          <w:tcPr>
            <w:tcW w:w="2079" w:type="dxa"/>
            <w:tcBorders>
              <w:bottom w:val="single" w:sz="12" w:space="0" w:color="000000"/>
            </w:tcBorders>
            <w:vAlign w:val="center"/>
          </w:tcPr>
          <w:p>
            <w:pPr>
              <w:pStyle w:val="TableContents"/>
              <w:bidi w:val="0"/>
              <w:spacing w:before="0" w:after="283"/>
              <w:jc w:val="center"/>
              <w:rPr>
                <w:b/>
              </w:rPr>
            </w:pPr>
            <w:r>
              <w:rPr>
                <w:b/>
              </w:rPr>
              <w:t>Permit/License</w:t>
            </w:r>
          </w:p>
        </w:tc>
        <w:tc>
          <w:tcPr>
            <w:tcW w:w="60" w:type="dxa"/>
            <w:tcBorders/>
            <w:tcMar>
              <w:bottom w:w="0" w:type="dxa"/>
            </w:tcMar>
            <w:vAlign w:val="center"/>
          </w:tcPr>
          <w:p>
            <w:pPr>
              <w:pStyle w:val="TableContents"/>
              <w:bidi w:val="0"/>
              <w:spacing w:before="0" w:after="283"/>
              <w:jc w:val="left"/>
              <w:rPr/>
            </w:pPr>
            <w:r>
              <w:rPr/>
              <w:t> </w:t>
            </w:r>
          </w:p>
        </w:tc>
        <w:tc>
          <w:tcPr>
            <w:tcW w:w="3075" w:type="dxa"/>
            <w:tcBorders>
              <w:bottom w:val="single" w:sz="12" w:space="0" w:color="000000"/>
            </w:tcBorders>
            <w:vAlign w:val="center"/>
          </w:tcPr>
          <w:p>
            <w:pPr>
              <w:pStyle w:val="TableContents"/>
              <w:bidi w:val="0"/>
              <w:spacing w:before="0" w:after="283"/>
              <w:jc w:val="center"/>
              <w:rPr>
                <w:b/>
              </w:rPr>
            </w:pPr>
            <w:r>
              <w:rPr>
                <w:b/>
              </w:rPr>
              <w:t>Issuing authority</w:t>
            </w:r>
          </w:p>
        </w:tc>
        <w:tc>
          <w:tcPr>
            <w:tcW w:w="60" w:type="dxa"/>
            <w:tcBorders/>
            <w:tcMar>
              <w:bottom w:w="0" w:type="dxa"/>
            </w:tcMar>
            <w:vAlign w:val="center"/>
          </w:tcPr>
          <w:p>
            <w:pPr>
              <w:pStyle w:val="TableContents"/>
              <w:bidi w:val="0"/>
              <w:spacing w:before="0" w:after="283"/>
              <w:jc w:val="left"/>
              <w:rPr/>
            </w:pPr>
            <w:r>
              <w:rPr/>
              <w:t> </w:t>
            </w:r>
          </w:p>
        </w:tc>
        <w:tc>
          <w:tcPr>
            <w:tcW w:w="2148" w:type="dxa"/>
            <w:tcBorders>
              <w:bottom w:val="single" w:sz="12" w:space="0" w:color="000000"/>
            </w:tcBorders>
            <w:vAlign w:val="center"/>
          </w:tcPr>
          <w:p>
            <w:pPr>
              <w:pStyle w:val="TableContents"/>
              <w:bidi w:val="0"/>
              <w:spacing w:before="0" w:after="283"/>
              <w:ind w:left="0" w:right="0" w:hanging="180"/>
              <w:jc w:val="center"/>
              <w:rPr>
                <w:b/>
              </w:rPr>
            </w:pPr>
            <w:r>
              <w:rPr>
                <w:b/>
              </w:rPr>
              <w:t>Term</w:t>
            </w:r>
          </w:p>
        </w:tc>
      </w:tr>
      <w:tr>
        <w:trPr/>
        <w:tc>
          <w:tcPr>
            <w:tcW w:w="2723" w:type="dxa"/>
            <w:tcBorders/>
            <w:shd w:fill="CCEEFF" w:val="clear"/>
            <w:tcMar>
              <w:bottom w:w="0" w:type="dxa"/>
            </w:tcMar>
            <w:vAlign w:val="center"/>
          </w:tcPr>
          <w:p>
            <w:pPr>
              <w:pStyle w:val="TableContents"/>
              <w:bidi w:val="0"/>
              <w:spacing w:before="0" w:after="283"/>
              <w:jc w:val="left"/>
              <w:rPr/>
            </w:pPr>
            <w:r>
              <w:rPr/>
              <w:t>Nanping Golden Heaven Amusement Park Management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Nanping City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Long term</w:t>
            </w:r>
          </w:p>
        </w:tc>
      </w:tr>
      <w:tr>
        <w:trPr/>
        <w:tc>
          <w:tcPr>
            <w:tcW w:w="272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8" w:type="dxa"/>
            <w:tcBorders/>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Changde Jinsheng Amusement Development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Changde City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Changde City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October 10, 2018, renewed each year</w:t>
            </w:r>
          </w:p>
        </w:tc>
      </w:tr>
      <w:tr>
        <w:trPr/>
        <w:tc>
          <w:tcPr>
            <w:tcW w:w="272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8" w:type="dxa"/>
            <w:tcBorders/>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Qujing Jinsheng Amusement Investment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Qujing City Qilin District Administrative Examination and Approval Bureau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Qujing City Qilin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Starting from around February 2015,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ind w:left="0" w:right="0" w:hanging="180"/>
              <w:jc w:val="left"/>
              <w:rPr/>
            </w:pPr>
            <w:r>
              <w:rPr/>
              <w:t> </w:t>
            </w:r>
          </w:p>
        </w:tc>
        <w:tc>
          <w:tcPr>
            <w:tcW w:w="2208" w:type="dxa"/>
            <w:gridSpan w:val="2"/>
            <w:tcBorders/>
            <w:shd w:fill="FFFFFF" w:val="clear"/>
            <w:tcMar>
              <w:bottom w:w="0" w:type="dxa"/>
            </w:tcMar>
          </w:tcPr>
          <w:p>
            <w:pPr>
              <w:pStyle w:val="TableContents"/>
              <w:bidi w:val="0"/>
              <w:spacing w:before="0" w:after="283"/>
              <w:jc w:val="left"/>
              <w:rPr>
                <w:sz w:val="4"/>
                <w:szCs w:val="4"/>
              </w:rPr>
            </w:pPr>
            <w:r>
              <w:rPr>
                <w:sz w:val="4"/>
                <w:szCs w:val="4"/>
              </w:rPr>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Tongling Jinsheng Amusement Investment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Tongling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Tongling Quality and Technical Supervision Bureau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around October 2016,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Yuxi Jinsheng Amusement Development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Yuxi City Hongta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Yuxi City Hongta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September 11, 2017,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Yueyang Jinsheng Amusement Development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Yuyang City Junshan District Administration 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Yueyang Quality and Technical Supervision Bureau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ind w:left="0" w:right="0" w:hanging="180"/>
              <w:jc w:val="left"/>
              <w:rPr/>
            </w:pPr>
            <w:r>
              <w:rPr/>
              <w:t>Starting from July 2, 2018, renewed each year</w:t>
            </w:r>
          </w:p>
        </w:tc>
      </w:tr>
      <w:tr>
        <w:trPr/>
        <w:tc>
          <w:tcPr>
            <w:tcW w:w="2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23" w:type="dxa"/>
            <w:vMerge w:val="restart"/>
            <w:tcBorders/>
            <w:shd w:fill="CCEEFF" w:val="clear"/>
            <w:tcMar>
              <w:bottom w:w="0" w:type="dxa"/>
            </w:tcMar>
            <w:vAlign w:val="center"/>
          </w:tcPr>
          <w:p>
            <w:pPr>
              <w:pStyle w:val="TableContents"/>
              <w:bidi w:val="0"/>
              <w:spacing w:before="0" w:after="283"/>
              <w:jc w:val="left"/>
              <w:rPr/>
            </w:pPr>
            <w:r>
              <w:rPr/>
              <w:t>Mangshi Jinsheng Amusement Park Co., Ltd.</w:t>
            </w:r>
          </w:p>
        </w:tc>
        <w:tc>
          <w:tcPr>
            <w:tcW w:w="60" w:type="dxa"/>
            <w:vMerge w:val="restart"/>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left"/>
              <w:rPr/>
            </w:pPr>
            <w:r>
              <w:rPr/>
              <w:t>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Mangshi Administration</w:t>
              <w:br/>
              <w:t>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 term</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Special Equipment Registrations for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Mangshi Administration</w:t>
              <w:br/>
              <w:t>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Starting from October 24, 2017, renewed each year</w:t>
            </w:r>
          </w:p>
        </w:tc>
      </w:tr>
      <w:tr>
        <w:trPr/>
        <w:tc>
          <w:tcPr>
            <w:tcW w:w="2723" w:type="dxa"/>
            <w:vMerge w:val="continue"/>
            <w:tcBorders/>
            <w:shd w:fill="CCEEFF" w:val="clear"/>
            <w:tcMar>
              <w:bottom w:w="0" w:type="dxa"/>
            </w:tcMar>
            <w:vAlign w:val="center"/>
          </w:tcPr>
          <w:p>
            <w:pPr>
              <w:pStyle w:val="Normal"/>
              <w:bidi w:val="0"/>
              <w:jc w:val="left"/>
              <w:rPr/>
            </w:pPr>
            <w:r>
              <w:rPr/>
            </w:r>
          </w:p>
        </w:tc>
        <w:tc>
          <w:tcPr>
            <w:tcW w:w="60" w:type="dxa"/>
            <w:vMerge w:val="continue"/>
            <w:tcBorders/>
            <w:shd w:fill="CCEEFF" w:val="clear"/>
            <w:tcMar>
              <w:bottom w:w="0" w:type="dxa"/>
            </w:tcMar>
            <w:vAlign w:val="center"/>
          </w:tcPr>
          <w:p>
            <w:pPr>
              <w:pStyle w:val="Normal"/>
              <w:bidi w:val="0"/>
              <w:jc w:val="left"/>
              <w:rPr/>
            </w:pPr>
            <w:r>
              <w:rPr/>
            </w:r>
          </w:p>
        </w:tc>
        <w:tc>
          <w:tcPr>
            <w:tcW w:w="2079" w:type="dxa"/>
            <w:tcBorders/>
            <w:shd w:fill="CCEEFF" w:val="clear"/>
            <w:tcMar>
              <w:bottom w:w="0" w:type="dxa"/>
            </w:tcMar>
            <w:vAlign w:val="center"/>
          </w:tcPr>
          <w:p>
            <w:pPr>
              <w:pStyle w:val="TableContents"/>
              <w:bidi w:val="0"/>
              <w:spacing w:before="0" w:after="283"/>
              <w:jc w:val="left"/>
              <w:rPr/>
            </w:pPr>
            <w:r>
              <w:rPr/>
              <w:t>Food Business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5" w:type="dxa"/>
            <w:tcBorders/>
            <w:shd w:fill="CCEEFF" w:val="clear"/>
            <w:tcMar>
              <w:bottom w:w="0" w:type="dxa"/>
            </w:tcMar>
            <w:vAlign w:val="center"/>
          </w:tcPr>
          <w:p>
            <w:pPr>
              <w:pStyle w:val="TableContents"/>
              <w:bidi w:val="0"/>
              <w:spacing w:before="0" w:after="283"/>
              <w:jc w:val="left"/>
              <w:rPr/>
            </w:pPr>
            <w:r>
              <w:rPr/>
              <w:t>Mangshi Administration</w:t>
              <w:br/>
              <w:t>for Market Regulation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June 15, 2020 to June 14, 2026</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our Class A Ordinary Shares may be delisted from a national exchange or prohibited from being traded over-the-counter under the Holding Foreign Companies Accountable Act (the “HFCA Act”) if the Public Company Accounting Oversight Board (the “PCAOB”) is unable to inspect our auditor for two consecutive years. On December 16, 2021, the PCAOB issued its determinations that the PCAOB was unable to inspect or investigate completely PCAOB-registered public accounting firms headquartered in mainland China and in Hong Kong, because of positions taken by PRC authorities in those jurisdictions, which determinations were vacated on December 15, 2022. Our auditor, ASSENTSURE PAC, is headquartered in Singapore, will be inspected by the PCAOB on a regular basis, and it is not subject to the determinations announced by the PCAOB on December 16, 2021. On August 26, 2022, the PCAOB signed a Statement of Protocol Agreement (the “SOP”) with the CSRC and China’s Ministry of Finance. The SOP, together with two protocol agreements governing inspections and investigations (together, the “SOP Agreements”), establish a specific, accountable framework to make possible complete inspections and investigations by the PCAOB of audit firms based in mainland China and Hong Kong, as required under U.S. law.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See “</w:t>
      </w:r>
      <w:r>
        <w:rPr>
          <w:rFonts w:ascii="Times New Roman;Times;Serif" w:hAnsi="Times New Roman;Times;Serif"/>
          <w:b w:val="false"/>
          <w:i/>
          <w:caps w:val="false"/>
          <w:smallCaps w:val="false"/>
          <w:sz w:val="20"/>
          <w:bdr w:val="single" w:sz="12" w:space="1" w:color="000000"/>
        </w:rPr>
        <w:t>Item 3. Key Information—D. Risk Factors— Risks Related to Our Class A Ordinary Shares and the Trading Market—Recent joint statement by the SEC and the PCAOB proposed rule changes submitted by Nasdaq, and the Holding Foreign Companies Accountable Act passed by the U.S. Senate all call for additional and more stringent criteria to be applied to emerging market companies upon assessing the qualification of their auditors, especially the non-U.S. auditors who are not inspected by the PCAOB. These developments could add uncertainties to our future offerings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Cash Transfers and Dividend Distributions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we have not maintained any cash management policies that dictate the purpose, amount and procedure of fund transfers among our Cayman Islands holding company, our subsidiaries, or investors. Rather, the funds can be transferred in accordance with the applicable laws and regulations. In May 2023, our Cayman Islands holding company made a net cash transfer in the amount of approximately $6.19 million to the Chinese operating entities, which amount is derived from the net proceeds raised from our initial public offering. As of the date of this prospectus, our Cayman Islands holding company has not declared or paid dividends or made distributions to the Chinese operating entities or to investors in the past, nor were any dividends or distributions made by a Chinese operating entity to the Cayman Islands holding company. Our board of directors has complete discretion on whether to distribute dividends, subject to applicable laws. We do not have any current plan to declare or pay any cash dividends on our Class A Ordinary Shares in the foreseeable future. See “</w:t>
      </w:r>
      <w:r>
        <w:rPr>
          <w:rFonts w:ascii="Times New Roman;Times;Serif" w:hAnsi="Times New Roman;Times;Serif"/>
          <w:b w:val="false"/>
          <w:i/>
          <w:caps w:val="false"/>
          <w:smallCaps w:val="false"/>
          <w:sz w:val="20"/>
          <w:bdr w:val="single" w:sz="12" w:space="1" w:color="000000"/>
        </w:rPr>
        <w:t>Item 3. Key Information—D. Risk Factors— Risks Related to Our Class A Ordinary Shares and the Trading Market—We currently do not expect to pay dividends in the foreseeable future and you must rely on price appreciation of the Class A Ordinary Shares for return on your investment</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Subject to certain contractual, legal and regulatory restrictions, cash and capital contributions may be transferred among our Cayman Islands holding company and the Chinese operating entities. If needed, our Cayman Islands holding company can transfer cash to the Chinese operating entities through loans and/or capital contributions, and the Chinese operating entities can transfer cash to our Cayman Islands holding company through loans and/or issuing dividends or other distributions. There are limitations on the ability to transfer cash between the Cayman Islands holding company, the Chinese operating entities or investors. Cash transfers from the Cayman Islands holding company to the Chinese operating entities are subject to the applicable PRC laws and regulations on loans and direct investment.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PRC—PRC regulations of loans and direct investment by offshore holding companies to PRC entities may delay or prevent us from using the proceeds of our offshore financing to make loans or additional capital contributions to the operating entities, which could materially and adversely affect our liquidity and business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If any of the operating entities incurs debt on its own behalf in the future, the instruments governing such debt may restrict their ability to pay dividends to the Cayman Islands holding company. Cash transfers from the Chinese operating entities to the Cayman Islands holding company are also subject to the current PRC regulations, which permit the Chinese operating entities to pay dividends to their shareholders only out of their accumulated profits, if any, determined in accordance with PRC accounting standards and regulations.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Cash transfers from the Cayman Islands holding company to the investors are subject to the restrictions on the remittance of Renminbi into and out of China and governmental control of currency conversion.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PRC—Restrictions on the remittance of Renminbi into and out of China and governmental control of currency conversion may limit our ability to pay dividends and other obligations, and affect the value of your investment</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 Additionally, to the extent cash or assets in the business is in China or a Chinese operating entity, the funds or assets may not be available to fund operations or for other use outside of China due to interventions in or the imposition of restrictions and limitations on the ability of our Company or the operating entities by the PRC government to transfer cash or assets. See “</w:t>
      </w:r>
      <w:r>
        <w:rPr>
          <w:rFonts w:ascii="Times New Roman;Times;Serif" w:hAnsi="Times New Roman;Times;Serif"/>
          <w:b w:val="false"/>
          <w:i/>
          <w:caps w:val="false"/>
          <w:smallCaps w:val="false"/>
          <w:sz w:val="20"/>
          <w:bdr w:val="single" w:sz="12" w:space="1" w:color="000000"/>
        </w:rPr>
        <w:t>Item 3. Key Information—D. Risk Factors—Risks Related to Doing Business in the PRC—We may rely on dividends and other distributions on equity paid by the operating entities to fund any cash and financing requirements we may have. To the extent funds or assets in the business are in the PRC or a PRC entity, the funds or assets may not be available to fund operations or for other use outside of the PRC due to interventions in or the imposition of restrictions and limitations on the ability of our company or the operating entities by the PRC government to transfer cash or assets</w:t>
      </w:r>
      <w:r>
        <w:rPr>
          <w:rFonts w:ascii="Times New Roman;Times;Serif" w:hAnsi="Times New Roman;Times;Serif"/>
          <w:b w:val="false"/>
          <w:i w:val="false"/>
          <w:caps w:val="false"/>
          <w:smallCaps w:val="false"/>
          <w:sz w:val="20"/>
          <w:bdr w:val="single" w:sz="12" w:space="1" w:color="000000"/>
        </w:rPr>
        <w:t>” in the 2025 Annual Report, which is incorporated by reference into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board of directors has complete discretion as to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Under Cayman Islands law, we may only pay dividends out of either profits or share premium account, and provided that in no circumstances may a dividend be paid if it would result in us being unable to pay our debts as they fall due in the ordinary course of business. Even if our board of directors decides to pay dividends, the form, frequency and amount of future dividends, if any, will depend upon our future operations and earnings, capital requirements and surplus, general financial condition, contractual restrictions and other factors that our board of directors may deem relevant.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we determine to pay dividends on any of Class A Ordinary Shares in the future, as a holding company incorporated in the Cayman Islands, we will be dependent on receipt of funds from our Hong Kong subsidiary, Golden Heaven Group Management Limited.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Current PRC regulations permit our indirect PRC subsidiaries to pay dividends to Golden Heaven Group Management Limited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such entity in China is also required to further set aside a portion of its after-tax profits to fund the employee welfare fund, although the amount to be set aside, if any, is determined at the discretion of its board of directors. Although the statutory reserves can be used, among other purposes, to increase the registered capital and eliminate future losses in excess of retained earnings of the respective companies, the reserve funds are not distributable as cash dividends except in the event of liquidation.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PRC government imposes controls on the conversion of RMB into foreign currencies and the remittance of currencies out of the PRC. Therefore, we may experience difficulties in complying with the administrative requirements necessary to obtain and remit foreign currency for the payment of dividends from our profits, if any. Furthermore, if our subsidiaries and affiliates in the PRC incur debt on their own in the future, the instruments governing the debt may restrict their ability to pay dividends or make other payments. If we or our subsidiaries are unable to receive all of the revenue from our operations, we may be unable to pay dividends on Class A Ordinary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Cash dividends, if any, on Class A Ordinary Shares will be paid in U.S. dollars. Golden Heaven Group Management Limited may be considered a non-resident enterprise for PRC tax purposes. Any dividends that our PRC subsidiaries pay to Golden Heaven Group Management Limited may be regarded as China-sourced income and as a result may be subject to PRC withholding tax at a rate of up to 10%.</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order for us to pay dividends to our shareholders, we will rely on payments made from the operating entities in the PRC to Nanping Golden Heaven Amusement Park Management Co., Ltd., from Nanping Golden Heaven Amusement Park Management Co., Ltd. to Golden Heaven Group Management Limited, and the distribution of such payments indirectly to our Company. According to the PRC Enterprise Income Tax Law, such payments from subsidiaries to parent companies in China are subject to the PRC enterprise income tax at a rate of 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Arrangement between Mainland China and the Hong Kong Special Administrative Region for the Avoidance of Double Taxation and Tax Evasion on Income, the 10% withholding tax rate may be lowered to 5% if a Hong Kong resident enterprise owns no less than 25% of a PRC project. The 5% withholding tax rate, however, does not automatically apply and certain requirements must be satisfied, including without limitation that (i) the Hong Kong project must be the beneficial owner of the relevant dividends; and (ii) the Hong Kong project must directly hold no less than a 25% share ownership in the PRC project during the 12 consecutive months preceding its receipt of the dividends. As of the date of this prospectus, Golden Heaven Group Management Limited is more likely to be subject to the 10% withholding tax rate. If Golden Heaven Group Management Limited is considered as a Hong Kong resident enterprise, as stipulated by the Double Tax Avoidance Arrangement and other applicable laws, the withholding tax may be reduced to 5%.</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No. 8 Banhouhaichuan Rd, Xiqin Town, Yanping District, Nanping City, Fujian Province, China 353001, and our telephone number is +86 0599 8508022. Our website is jsyoule.com. Information contained on, or available through, our website or any other website does not constitute a part of this prospectus, and is not deemed incorporated by reference into, this prospectus. Our registered office in the Cayman Islands is located at the office of Harneys Fiduciary (Cayman) Limited, 4th Floor, Harbour Place, 103 South Church Street, P.O. Box 10240, Grand Cayman KY1-1002, Cayman Islands. Our agent for service of process in the United States is Cogency Global Inc., 122 East 42nd Street, 18th Floor, New York, NY 10168.</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5"/>
      <w:bookmarkEnd w:id="19"/>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risks described under “Risk Factors” in the applicable prospectus supplement and under the heading “Item 3. Key Information—D. Risk Factors” in the 2025 Annual Report, which is incorporated in this prospectus by reference, together with any other information appearing or incorporated by reference in this prospectus and in any accompanying prospectus supplement, in light of your particular investment objectives and financial circumstances. In addition to those risk factors, there may be additional risks and uncertainties of which our management is unaware or deems immaterial. Our business, financial condition, or results of operations could be materially and adversely affected by any of these risks. The trading price of our securities could decline due to any of these risks, and you may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not a Chinese operating company but a Cayman Islands holding company. We have no material operations of our own and conduct substantially all of the operations through the operating entities in China. Investors are purchasing equity interests in the Cayman Islands holding company, and not in the Chinese operating entities. Investors may never hold equity interests in the Chinese operating entities. We hold 100% equity interests in the operating entities in China, and we do not use a VIE structure. Our operating structure involves unique risks to investors. The Chinese regulatory authorities could disallow our operating structure, which would likely result in a material change in our operations and/or a material change in the value of our Class A Ordinary Shares, and could cause the value of our Class A Ordinary Shares to significantly decline or become worthless.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6"/>
      <w:bookmarkEnd w:id="20"/>
      <w:r>
        <w:rPr>
          <w:rFonts w:ascii="Times New Roman;Times;Serif" w:hAnsi="Times New Roman;Times;Serif"/>
          <w:b/>
          <w:i w:val="false"/>
          <w:caps w:val="false"/>
          <w:smallCaps w:val="false"/>
          <w:sz w:val="20"/>
        </w:rPr>
        <w:t>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any combination of the securities described in this prospectus up to a total dollar amount of $200,000,000 in one or more offerings. The securities offered under this prospectus may be offered separately, together, or in separate series, and in amounts, at prices, and on terms to be determined at the time of sale. We will keep the registration statement of which this prospectus is a part effective until such time as all of the securities covered by this prospectus have been disposed of pursuant to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7"/>
      <w:bookmarkEnd w:id="21"/>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8"/>
      <w:bookmarkEnd w:id="22"/>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net tangible book value per share of our equity securities before and after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of the immediate dilution from the public offering price which will be absorbed by such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9"/>
      <w:bookmarkEnd w:id="23"/>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securities we offer as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0"/>
      <w:bookmarkEnd w:id="24"/>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under the heading “</w:t>
      </w:r>
      <w:r>
        <w:rPr>
          <w:rFonts w:ascii="Times New Roman;Times;Serif" w:hAnsi="Times New Roman;Times;Serif"/>
          <w:b w:val="false"/>
          <w:i/>
          <w:caps w:val="false"/>
          <w:smallCaps w:val="false"/>
          <w:sz w:val="20"/>
        </w:rPr>
        <w:t>Item 10. Additional Information</w:t>
      </w:r>
      <w:r>
        <w:rPr>
          <w:rFonts w:ascii="Times New Roman;Times;Serif" w:hAnsi="Times New Roman;Times;Serif"/>
          <w:b w:val="false"/>
          <w:i w:val="false"/>
          <w:caps w:val="false"/>
          <w:smallCaps w:val="false"/>
          <w:sz w:val="20"/>
        </w:rPr>
        <w:t>” in the 2025 Annual Report is incorporated into this prospectus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the extraordinary general meeting of shareholders of the Company was held and shareholders of the Company duly adopted the following resolutions: (i) the Company’s authorised share capital be increased, effective immediately, US$10,030,000 divided into: (i) 2,000,000,000 Class A Ordinary Shares of par value of US$0.005 each, and (ii) 6,000,000 Class B Ordinary Shares of par value of US$0.005 each, to US$200,600,000 divided into 40,000,000,000 Class A Ordinary Shares of US$0.005 par value each and 120,000,000 Class B Ordinary Shares of US$0.005 par value each (the “Authorised Share Capital Increase”); (ii) subject to and immediately following the Authorised Share Capital Increase being effected, the Company adopt an amended and restated memorandum and articles of association; (iii) conditional upon the approval of the board of directors of the Company (the “Board”) in its sole discretion, with effect as of the date the Board may determine that the authorised, issued, and outstanding shares of the Company (collectively, the “Shares”) be consolidated by consolidating each 250 Shares of the Company, or such lesser whole share amount as the Board of Directors may determine in its sole discretion, such amount not to be less than 2, into 1 Share of the Company, with such consolidated Shares having the same rights and being subject to the same restrictions (save as to par value) as the existing Shares of such class as set out in the Company’s memorandum and articles of association (the “Share Consolidation”); and (iv) subject to and immediately following the Share Consolidation being effected, the Company adopt an amended and restated memorandum and articles of association in substitution for, and to the exclusion of, the Company’s then existing memorandum and articles of association, to reflect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2025, the Board approved that the authorised, issued, and outstanding Shares of the Company be consolidated on a 15 for 1 ratio. The share consolidation was effective on May 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2025, the extraordinary general meeting of shareholders of the Company was held and shareholders of the Company duly adopted the following resolutions: (i) the Company’s authorised share capital be increased, effective immediately, from US$200,600,000 divided into: (i) 1,600,000,000 Class A Ordinary Shares of par value of US$0.125 each, and (ii) 4,800,000 Class B Ordinary Shares of par value of US$0.125 each, to US$6,018,000,000 divided into 48,000,000,000 Class A Ordinary Shares of US$0.125 par value each and 144,000,000 Class B Ordinary Shares of US$0.125 par value each (the “Authorised Share Capital Increase”); (ii) subject to and immediately following the Authorised Share Capital Increase being effected, the Company adopt an amended and restated memorandum and articles of association; (iii) conditional upon the approval of the board of directors of the Company (the “Board”) in its sole discretion, with effect as of the date within one (1) calendar year after the conclusion of the EGM as the Board may determine that the authorised, issued, and outstanding shares of the Company (collectively, the Shares) be consolidated by consolidating each 50 Shares of the Company, or such lesser whole share amount as the Board of Directors may determine in its sole discretion, such amount not to be less than 2, into 1 Share of the Company, with such consolidated Shares having the same rights and being subject to the same restrictions (save as to par value) as the existing Shares of such class as set out in the Company’s memorandum and articles of association (the “Share Consolidation”); and (iv) subject to and immediately following the Share Consolidation being effected, the Company adopt an amended and restated memorandum and articles of association in substitution for, and to the exclusion of, the Company’s then existing memorandum and articles of association, to reflect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2025, the Board approved that the authorised, issued, and outstanding Shares of the Company be consolidated on a 15 for 1 ratio. The share consolidation was effective on August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1"/>
      <w:bookmarkEnd w:id="25"/>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“debt securities” means the debentures, notes, bonds, and other evidences of indebtedness that we may issue from time to time. The debt securities will either be senior debt securities or subordinated debt securities. Debt securities will be issued under an indenture between us and a trustee to be named therein. We have filed the forms of indentures as exhibits to the registration statement of which this prospectus is a part. We may issue debt securities which may or may not be converted into our Class A Ordinary Shares or Class B Ordinary Shares. It is likely that convertible debt securities will not be issued under an indenture. We may issue the debt securities independently or together with any underlying securities, and debt securities may be attached or separate from the underlying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debt securities.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for information on how to obtain a copy of a debt securities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debt securities, we mean all debt securities issued as part of the same series under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debt securities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title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total amount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or amounts of the debt securities will be issued and interest rate;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conversion price at which the debt securities may be converted;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convert the debt securities will commence and the date on which the right will expire;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minimum or maximum amount of debt securities that may be converted at any one time;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a discussion of material federal income tax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terms of the payoff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identity of the indenture agent,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procedures and conditions relating to the conversion of the debt securities;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debt securities, including terms, procedure and limitation relating to the exchange or conversion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registered form or bearer form. Debt securities issued in registered form, i.e., book-entry form, will be represented by a global security registered in the name of a depository, 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of their debt securities, holders of debt securities convertible for Class A Ordinary Shares or Class B Ordinary Shares will not have any rights of holders of Class A Ordinary Shares or Class B Ordinary Shares, and will not be entitled to dividend payments, if any, or voting rights of the Class A Ordinary Shares or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2"/>
      <w:bookmarkEnd w:id="26"/>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securities.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for information on how to obtain a copy of a warrant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warrants, we mean all warrants issued as part of the same series under the applicable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title of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total number of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price or prices at which the warrants will be issued;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price or prices at which the warrants may be exercised;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currency or currencies that investors may use to pay for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exercise the warrants will commence and the date on which the right will expire;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whether the warrants will be issued in registered form;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information with respect to book-entry procedures,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minimum or maximum amount of warrants that may be exercised at any one time;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designation and terms of the underlying securities with which the warrants are issued and the number of warrants issued with each underlying security;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date on and after which the warrants and the related underlying securities will be separately transferable;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a discussion of material federal income tax considerations;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terms of redemption of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identity of the warrant agent,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procedures and conditions relating to the exercise of the warrants;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registered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exercisable for Class A Ordinary Shares or Class B Ordinary Shares will not have any rights of holders of Class A Ordinary Shares or Class B Ordinary Shares and will not be entitled to dividend payments, if any, or voting rights of the Class A Ordinary Shares or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securities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3"/>
      <w:bookmarkEnd w:id="27"/>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of determining the security holders entitled to the rights distribution;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aggregate number of rights issued and the aggregate amount of securities purchasable upon exercise of the rights;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exercise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conditions to completion of the rights offering;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exercise the rights will commence and the date on which the rights will expire;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applicable federal income tax considerations.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4"/>
      <w:bookmarkEnd w:id="28"/>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our securities.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for information on how to obtain a copy of a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provisions for the issuance, payment, settlement, transfer, or exchange of the units or of the securities composing the units;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Whether the units will be issued in fully registered or global form;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w:t>
      </w:r>
      <w:r>
        <w:rPr>
          <w:rFonts w:ascii="Times New Roman;Times;Serif" w:hAnsi="Times New Roman;Times;Serif"/>
          <w:b w:val="false"/>
          <w:i/>
          <w:caps w:val="false"/>
          <w:smallCaps w:val="false"/>
          <w:sz w:val="20"/>
        </w:rPr>
        <w:t>Description of Share Capital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Debt Securities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Warrants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Rights</w:t>
      </w:r>
      <w:r>
        <w:rPr>
          <w:rFonts w:ascii="Times New Roman;Times;Serif" w:hAnsi="Times New Roman;Times;Serif"/>
          <w:b w:val="false"/>
          <w:i w:val="false"/>
          <w:caps w:val="false"/>
          <w:smallCaps w:val="false"/>
          <w:sz w:val="20"/>
        </w:rPr>
        <w:t>” above, will apply to each unit and to each security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a_015"/>
      <w:bookmarkEnd w:id="2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170"/>
        <w:gridCol w:w="25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570" w:type="dxa"/>
            <w:tcBorders/>
            <w:vAlign w:val="center"/>
          </w:tcPr>
          <w:p>
            <w:pPr>
              <w:pStyle w:val="TableContents"/>
              <w:bidi w:val="0"/>
              <w:spacing w:before="0" w:after="283"/>
              <w:jc w:val="both"/>
              <w:rPr/>
            </w:pPr>
            <w:r>
              <w:rPr/>
              <w:t>through agents;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570" w:type="dxa"/>
            <w:tcBorders/>
            <w:vAlign w:val="center"/>
          </w:tcPr>
          <w:p>
            <w:pPr>
              <w:pStyle w:val="TableContents"/>
              <w:bidi w:val="0"/>
              <w:spacing w:before="0" w:after="283"/>
              <w:jc w:val="both"/>
              <w:rPr/>
            </w:pPr>
            <w:r>
              <w:rPr/>
              <w:t>to or through underwriters;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broker-dealers (acting as agent or principal);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directly by us to purchasers (including our affiliates and shareholders), through a specific bidding or auction process, a rights offering, or other method;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a combination of any such methods of sale;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any other methods described in a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block transactions (which may involve crosses) and transactions on Nasdaq or any other organized market where the securities may be traded;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purchases by a broker-dealer as principal and resale by the broker-dealer for its own account pursuant to a prospectus supplement;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ordinary brokerage transactions and transactions in which a broker-dealer solicits purchasers;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sales “at the market” to or through a market maker or into an existing trading market, on an exchange or otherwise;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sales in other ways not involving market makers or established trading markets, including direct sales to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extinguishment of debt,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any such person. Furthermore, Regulation M may restrict the ability of any person engaged in the distribution of our securities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may affect the marketability of our securities and the ability of any person or entity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6"/>
      <w:bookmarkEnd w:id="30"/>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w:t>
      </w:r>
      <w:r>
        <w:rPr>
          <w:rFonts w:ascii="Times New Roman;Times;Serif" w:hAnsi="Times New Roman;Times;Serif"/>
          <w:b w:val="false"/>
          <w:i/>
          <w:caps w:val="false"/>
          <w:smallCaps w:val="false"/>
          <w:sz w:val="20"/>
        </w:rPr>
        <w:t>Item 10. Additional Information—E. Taxation</w:t>
      </w:r>
      <w:r>
        <w:rPr>
          <w:rFonts w:ascii="Times New Roman;Times;Serif" w:hAnsi="Times New Roman;Times;Serif"/>
          <w:b w:val="false"/>
          <w:i w:val="false"/>
          <w:caps w:val="false"/>
          <w:smallCaps w:val="false"/>
          <w:sz w:val="20"/>
        </w:rPr>
        <w:t>” in the 2025 Annual Report,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to be named in a prospectus supplement may, from time to time, offer and sell Class A ordinary shares of our company held by them pursuant to this prospectus and the applicable prospectus supplement. Such selling shareholders may sell Class A ordinary shares to or through underwriters, dealers or agents or directly to purchasers or as otherwise set forth in the applicable prospectus supplement.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Such selling shareholders may also sell, transfer or otherwise dispose of Class A ordinary shares in transactions exempt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selling shareholder is to offer and sell Class A ordinary shares pursuant to this prospectus, we will provide you with a prospectus supplement that sets forth the name of each such selling shareholder and the number of Class A ordinary shares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7"/>
      <w:bookmarkEnd w:id="31"/>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 SEC registration fee of $27,620, and will also incur printing costs, legal fees and expenses, accounting fees and expenses, and other listing and qualifications fees in connection with the offering of securities. Expenses of any of the securities offered by this prospectus will be set forth in the applicable prospectus supplement(s) relating to the offering of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18"/>
      <w:bookmarkEnd w:id="32"/>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w:t>
      </w:r>
      <w:r>
        <w:rPr>
          <w:rFonts w:ascii="Times New Roman;Times;Serif" w:hAnsi="Times New Roman;Times;Serif"/>
          <w:b w:val="false"/>
          <w:i/>
          <w:caps w:val="false"/>
          <w:smallCaps w:val="false"/>
          <w:sz w:val="20"/>
        </w:rPr>
        <w:t xml:space="preserve">Incorporation of Documents by Reference” </w:t>
      </w:r>
      <w:r>
        <w:rPr>
          <w:rFonts w:ascii="Times New Roman;Times;Serif" w:hAnsi="Times New Roman;Times;Serif"/>
          <w:b w:val="false"/>
          <w:i w:val="false"/>
          <w:caps w:val="false"/>
          <w:smallCaps w:val="false"/>
          <w:sz w:val="20"/>
        </w:rPr>
        <w:t>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19"/>
      <w:bookmarkEnd w:id="33"/>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the 2025 Annual Report, in our reports of foreign issuer on Form 6-K filed or submitted under the Exchange Act and incorporated by reference herein, and as disclosed in this prospectus or the applicable prospectus supplement, no reportable material changes have occurred since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20"/>
      <w:bookmarkEnd w:id="3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as to United States federal securities and New York State law. The validity of the securities offered in this offering and certain other legal matters as to Cayman Islands law will be passed upon for us by Ogier, our counsel as to Cayman Islands law. Legal matters as to PRC law will be passed upon for us by Fujian Mingan Law Firm.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21"/>
      <w:bookmarkEnd w:id="35"/>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September 30, 2025, 2024 and 2023, and for the fiscal years ended September 30, 2025, 2024 and 2023 incorporated by reference in this prospectus have been so incorporated in reliance on the report of ASSENTSURE PAC, an independent registered public accounting firm, given on the authority of said firm as experts in auditing and accounting. The office of ASSENTSURE PAC is located at UEN-201816648N, 180B Bencoolen Street 03-01, The Bencoolen, Singapore 189648.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_022"/>
      <w:bookmarkEnd w:id="36"/>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185"/>
        <w:gridCol w:w="9500"/>
      </w:tblGrid>
      <w:tr>
        <w:trPr/>
        <w:tc>
          <w:tcPr>
            <w:tcW w:w="185" w:type="dxa"/>
            <w:tcBorders/>
            <w:vAlign w:val="center"/>
          </w:tcPr>
          <w:p>
            <w:pPr>
              <w:pStyle w:val="TableContents"/>
              <w:bidi w:val="0"/>
              <w:spacing w:before="0" w:after="283"/>
              <w:jc w:val="left"/>
              <w:rPr>
                <w:sz w:val="20"/>
              </w:rPr>
            </w:pPr>
            <w:r>
              <w:rPr>
                <w:sz w:val="20"/>
              </w:rPr>
              <w:t>1.</w:t>
            </w:r>
          </w:p>
        </w:tc>
        <w:tc>
          <w:tcPr>
            <w:tcW w:w="9500" w:type="dxa"/>
            <w:tcBorders/>
            <w:vAlign w:val="center"/>
          </w:tcPr>
          <w:p>
            <w:pPr>
              <w:pStyle w:val="TableContents"/>
              <w:bidi w:val="0"/>
              <w:spacing w:before="0" w:after="283"/>
              <w:jc w:val="both"/>
              <w:rPr/>
            </w:pPr>
            <w:r>
              <w:rPr>
                <w:sz w:val="20"/>
              </w:rPr>
              <w:t xml:space="preserve">our annual report on </w:t>
            </w:r>
            <w:hyperlink r:id="rId19">
              <w:r>
                <w:rPr>
                  <w:rStyle w:val="InternetLink"/>
                  <w:sz w:val="20"/>
                </w:rPr>
                <w:t>Form 20-F</w:t>
              </w:r>
            </w:hyperlink>
            <w:r>
              <w:rPr>
                <w:sz w:val="20"/>
              </w:rPr>
              <w:t xml:space="preserve"> for the fiscal year ended September 30, 2025 filed with the SEC on January 21, 2026;</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185"/>
        <w:gridCol w:w="7220"/>
      </w:tblGrid>
      <w:tr>
        <w:trPr/>
        <w:tc>
          <w:tcPr>
            <w:tcW w:w="185" w:type="dxa"/>
            <w:tcBorders/>
            <w:vAlign w:val="center"/>
          </w:tcPr>
          <w:p>
            <w:pPr>
              <w:pStyle w:val="TableContents"/>
              <w:bidi w:val="0"/>
              <w:spacing w:before="0" w:after="283"/>
              <w:jc w:val="left"/>
              <w:rPr>
                <w:sz w:val="20"/>
              </w:rPr>
            </w:pPr>
            <w:r>
              <w:rPr>
                <w:sz w:val="20"/>
              </w:rPr>
              <w:t>2.</w:t>
            </w:r>
          </w:p>
        </w:tc>
        <w:tc>
          <w:tcPr>
            <w:tcW w:w="7220" w:type="dxa"/>
            <w:tcBorders/>
            <w:vAlign w:val="center"/>
          </w:tcPr>
          <w:p>
            <w:pPr>
              <w:pStyle w:val="TableContents"/>
              <w:bidi w:val="0"/>
              <w:spacing w:before="0" w:after="283"/>
              <w:jc w:val="both"/>
              <w:rPr/>
            </w:pPr>
            <w:r>
              <w:rPr>
                <w:sz w:val="20"/>
              </w:rPr>
              <w:t xml:space="preserve">our reports of foreign private issuer on </w:t>
            </w:r>
            <w:hyperlink r:id="rId20">
              <w:r>
                <w:rPr>
                  <w:rStyle w:val="InternetLink"/>
                  <w:sz w:val="20"/>
                </w:rPr>
                <w:t>Form 6-K</w:t>
              </w:r>
            </w:hyperlink>
            <w:r>
              <w:rPr>
                <w:sz w:val="20"/>
              </w:rPr>
              <w:t xml:space="preserve"> filed with the SEC on January 27,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3.</w:t>
            </w:r>
          </w:p>
        </w:tc>
        <w:tc>
          <w:tcPr>
            <w:tcW w:w="10049" w:type="dxa"/>
            <w:tcBorders/>
            <w:vAlign w:val="center"/>
          </w:tcPr>
          <w:p>
            <w:pPr>
              <w:pStyle w:val="TableContents"/>
              <w:bidi w:val="0"/>
              <w:spacing w:before="0" w:after="283"/>
              <w:jc w:val="both"/>
              <w:rPr/>
            </w:pPr>
            <w:r>
              <w:rPr>
                <w:sz w:val="20"/>
              </w:rPr>
              <w:t xml:space="preserve">the description of our securities contained in our registration statement on </w:t>
            </w:r>
            <w:hyperlink r:id="rId21">
              <w:r>
                <w:rPr>
                  <w:rStyle w:val="InternetLink"/>
                  <w:sz w:val="20"/>
                </w:rPr>
                <w:t>Form 8-A</w:t>
              </w:r>
            </w:hyperlink>
            <w:r>
              <w:rPr>
                <w:sz w:val="20"/>
              </w:rPr>
              <w:t xml:space="preserve"> filed with the SEC on March 30, 2023, the description of securities contained in </w:t>
            </w:r>
            <w:hyperlink r:id="rId22">
              <w:r>
                <w:rPr>
                  <w:rStyle w:val="InternetLink"/>
                  <w:sz w:val="20"/>
                </w:rPr>
                <w:t>exhibit 2.2</w:t>
              </w:r>
            </w:hyperlink>
            <w:r>
              <w:rPr>
                <w:sz w:val="20"/>
              </w:rPr>
              <w:t xml:space="preserve"> to the 2025 Annual Report filed with the SEC on January 27, 2025, and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r>
              <w:rPr/>
              <w:t>4.</w:t>
            </w:r>
          </w:p>
        </w:tc>
        <w:tc>
          <w:tcPr>
            <w:tcW w:w="10017" w:type="dxa"/>
            <w:tcBorders/>
            <w:vAlign w:val="center"/>
          </w:tcPr>
          <w:p>
            <w:pPr>
              <w:pStyle w:val="TableContents"/>
              <w:bidi w:val="0"/>
              <w:spacing w:before="0" w:after="283"/>
              <w:jc w:val="both"/>
              <w:rPr/>
            </w:pPr>
            <w:r>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Our annual report on </w:t>
      </w:r>
      <w:hyperlink r:id="rId23">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September 30, 2025, filed with the SEC January 21, 2026, contains a description of our business and audited consolidated financial statements with a report by our independent auditors. These statements were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Heaven Group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Banhouhaichuan 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Xiqin Town, Yanping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Nanping City, Fujian Province, China 353001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+86 0599 8508022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a_023"/>
      <w:bookmarkEnd w:id="37"/>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electronically filed with the SEC can be inspected over the Internet at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24"/>
      <w:bookmarkEnd w:id="38"/>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Cayman Islands has a less exhaustive body of securities laws than the United States and these securities laws provide significantly less protection to investors; and</w:t>
            </w:r>
          </w:p>
        </w:tc>
      </w:tr>
    </w:tbl>
    <w:p>
      <w:pPr>
        <w:pStyle w:val="TextBody"/>
        <w:bidi w:val="0"/>
        <w:spacing w:before="0" w:after="0"/>
        <w:ind w:left="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among us, our officers, directors and shareholders, be arbitrated.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a substantial amount of our operations in China, and a substantial amount of our assets are located in China. A majority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shareholder to enforce judgments obtained in U.S. courts based on the civil liability provisions of the U.S. federal securities laws against us and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Cayman Islands legal counsel that there is uncertainty as to whether the courts of the Cayman Islands would: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recognize or enforce against us judgments of courts of the United States based on certain civil liability provisions of U.S. securities laws;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275"/>
        <w:gridCol w:w="497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970" w:type="dxa"/>
            <w:tcBorders/>
            <w:vAlign w:val="center"/>
          </w:tcPr>
          <w:p>
            <w:pPr>
              <w:pStyle w:val="TableContents"/>
              <w:bidi w:val="0"/>
              <w:spacing w:before="0" w:after="283"/>
              <w:jc w:val="both"/>
              <w:rPr/>
            </w:pPr>
            <w:r>
              <w:rPr/>
              <w:t>is given by a foreign court of competent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(b)</w:t>
            </w:r>
          </w:p>
        </w:tc>
        <w:tc>
          <w:tcPr>
            <w:tcW w:w="9842" w:type="dxa"/>
            <w:tcBorders/>
            <w:vAlign w:val="center"/>
          </w:tcPr>
          <w:p>
            <w:pPr>
              <w:pStyle w:val="TableContents"/>
              <w:bidi w:val="0"/>
              <w:spacing w:before="0" w:after="283"/>
              <w:jc w:val="both"/>
              <w:rPr/>
            </w:pPr>
            <w:r>
              <w:rPr/>
              <w:t>imposes on the judgment debtor a liability to pay a liquidated sum for which the judgment has been given;</w:t>
            </w:r>
          </w:p>
        </w:tc>
      </w:tr>
    </w:tbl>
    <w:p>
      <w:pPr>
        <w:pStyle w:val="TextBody"/>
        <w:bidi w:val="0"/>
        <w:spacing w:before="0" w:after="0"/>
        <w:ind w:left="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275"/>
        <w:gridCol w:w="21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2195" w:type="dxa"/>
            <w:tcBorders/>
            <w:vAlign w:val="center"/>
          </w:tcPr>
          <w:p>
            <w:pPr>
              <w:pStyle w:val="TableContents"/>
              <w:bidi w:val="0"/>
              <w:spacing w:before="0" w:after="283"/>
              <w:jc w:val="both"/>
              <w:rPr/>
            </w:pPr>
            <w:r>
              <w:rPr/>
              <w:t>is final and conclusive;</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290"/>
        <w:gridCol w:w="41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4175" w:type="dxa"/>
            <w:tcBorders/>
            <w:vAlign w:val="center"/>
          </w:tcPr>
          <w:p>
            <w:pPr>
              <w:pStyle w:val="TableContents"/>
              <w:bidi w:val="0"/>
              <w:spacing w:before="0" w:after="283"/>
              <w:jc w:val="both"/>
              <w:rPr/>
            </w:pPr>
            <w:r>
              <w:rPr/>
              <w:t>is not in respect of taxes, a fine or a penalty;</w:t>
            </w:r>
          </w:p>
        </w:tc>
      </w:tr>
    </w:tbl>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275"/>
        <w:gridCol w:w="29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2960" w:type="dxa"/>
            <w:tcBorders/>
            <w:vAlign w:val="center"/>
          </w:tcPr>
          <w:p>
            <w:pPr>
              <w:pStyle w:val="TableContents"/>
              <w:bidi w:val="0"/>
              <w:spacing w:before="0" w:after="283"/>
              <w:jc w:val="both"/>
              <w:rPr/>
            </w:pPr>
            <w:r>
              <w:rPr/>
              <w:t>was not obtained by fraud;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(f)</w:t>
            </w:r>
          </w:p>
        </w:tc>
        <w:tc>
          <w:tcPr>
            <w:tcW w:w="9892" w:type="dxa"/>
            <w:tcBorders/>
            <w:vAlign w:val="center"/>
          </w:tcPr>
          <w:p>
            <w:pPr>
              <w:pStyle w:val="TableContents"/>
              <w:bidi w:val="0"/>
              <w:spacing w:before="0" w:after="283"/>
              <w:jc w:val="both"/>
              <w:rPr/>
            </w:pPr>
            <w:r>
              <w:rPr/>
              <w:t>is not of a kind the enforcement of which is contrary to natural justice or the public policy of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legal counsel, Fujian Mingan Law Firm,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 Our PRC legal counsel, Fujian Mingan Law Firm, has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 The PRC does not have any treaties or other agreements with the United States or the Cayman Islands that provide for the reciprocal recognition and enforcement of foreign judgments.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uncertainty as to whether the courts of the BVI or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British Virgin Islands or Hong Kong against us or our directors or officers predicated upon the securities laws of the United States or any state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with regard to British Virgin Islands law as to whether a judgment obtained from the United States courts under civil liability provisions of the securities laws will be determined by the courts of the British Virgin Islands as penal or punitive in nature. If such a determination is made, the courts of the British Virgin Islands are also unlikely to recognize or enforce the judgment against a British Virgin Islands company. Because the courts of the British Virgin Islands have yet to rule on whether such judgments are penal or punitive in nature, it is uncertain whether they would be enforceable in the British Virgin Islands. Although there is no statutory enforcement in the British Virgin Islands of judgments obtained in the federal or state courts of the United States, in certain circumstances a judgment obtained in such jurisdiction may be recognized and enforced in the courts of the British Virgin Islands at common law, without any re-examination of the merits of the underlying dispute, by an action commenced on the foreign judgment debt in the High Court of the British Virgin Islands, provided such judgment: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is given by a foreign court of competent jurisdiction and such foreign court had proper jurisdiction over the parties subject to such judgment;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imposes on the judgment debtor a liability to pay a liquidated sum for which the judgment has been given;</w:t>
            </w:r>
          </w:p>
        </w:tc>
      </w:tr>
    </w:tbl>
    <w:p>
      <w:pPr>
        <w:pStyle w:val="TextBody"/>
        <w:bidi w:val="0"/>
        <w:spacing w:before="0" w:after="0"/>
        <w:ind w:left="720" w:right="0" w:hanging="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75"/>
        <w:gridCol w:w="170"/>
        <w:gridCol w:w="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both"/>
              <w:rPr/>
            </w:pPr>
            <w:r>
              <w:rPr/>
              <w:t>is final;</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 new admissible evidence relevant to the action is submitted prior to the rendering of the judgment by the courts of the BVI;</w:t>
            </w:r>
          </w:p>
        </w:tc>
      </w:tr>
    </w:tbl>
    <w:p>
      <w:pPr>
        <w:pStyle w:val="TextBody"/>
        <w:bidi w:val="0"/>
        <w:spacing w:before="0" w:after="0"/>
        <w:ind w:left="72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is not in respect of taxes, a fine, a penalty or similar fiscal or revenue obligations of the company;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was not obtained in a fraudulent manner and is not of a kind the enforcement of which is contrary to natural justice or the public policy of the British Virgin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appropriate circumstances, a BVI Court may give effect in the BVI to other kinds of final foreign judgments such as declaratory orders, orders for performance of contracts and injunctions.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judgments of United States courts will not be directly enforced in Hong Kong as there are currently no treaties or other arrangements providing for reciprocal enforcement of foreign judgments between Hong Kong and the United States. However, 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the judgment is for a liquidated amount in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 As a result, subject to the conditions with regard to enforcement of judgments of United States courts being met, including but not limited to the above, a foreign judgment of United States of civil liabilities predicated solely upon the federal securities laws of the United States or the securities laws of any State or territory within the United States could be enforceable in Hong Kong. See “</w:t>
      </w:r>
      <w:r>
        <w:rPr>
          <w:rFonts w:ascii="Times New Roman;Times;Serif" w:hAnsi="Times New Roman;Times;Serif"/>
          <w:b w:val="false"/>
          <w:i/>
          <w:caps w:val="false"/>
          <w:smallCaps w:val="false"/>
          <w:sz w:val="20"/>
        </w:rPr>
        <w:t>Item 3. Key Information—D. Risk Factors—Risks Related to Doing Business in the PRC—You may experience difficulties in effecting service of legal process, enforcing foreign judgments or bringing actions in China against us or our management based on foreign laws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 Key Information—D. Risk Factors—Risks Related to Our Class A Ordinary Shares and the Trading Market—Certain judgments obtained against us by our shareholders may not be enforceable</w:t>
      </w:r>
      <w:r>
        <w:rPr>
          <w:rFonts w:ascii="Times New Roman;Times;Serif" w:hAnsi="Times New Roman;Times;Serif"/>
          <w:b w:val="false"/>
          <w:i w:val="false"/>
          <w:caps w:val="false"/>
          <w:smallCaps w:val="false"/>
          <w:sz w:val="20"/>
        </w:rPr>
        <w:t>” in the 2025 Annual Report,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$50,000,000 of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09775" cy="942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4"/>
                    <a:stretch>
                      <a:fillRect/>
                    </a:stretch>
                  </pic:blipFill>
                  <pic:spPr bwMode="auto">
                    <a:xfrm>
                      <a:off x="0" y="0"/>
                      <a:ext cx="2009775" cy="9429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28340/000121390026005908/ea0272411-20f_golden.htm" TargetMode="External"/><Relationship Id="rId4" Type="http://schemas.openxmlformats.org/officeDocument/2006/relationships/hyperlink" Target="https://www.sec.gov/ix?doc=/Archives/edgar/data/1928340/000121390026075975/ea0296860-6k_golden.htm" TargetMode="External"/><Relationship Id="rId5" Type="http://schemas.openxmlformats.org/officeDocument/2006/relationships/hyperlink" Target="https://www.sec.gov/Archives/edgar/data/1928340/000121390026058984/ea0291479-6k_golden.htm" TargetMode="External"/><Relationship Id="rId6" Type="http://schemas.openxmlformats.org/officeDocument/2006/relationships/hyperlink" Target="https://www.sec.gov/Archives/edgar/data/1928340/000121390026055106/ea0290083-6k_golden.htm" TargetMode="External"/><Relationship Id="rId7" Type="http://schemas.openxmlformats.org/officeDocument/2006/relationships/hyperlink" Target="https://www.sec.gov/Archives/edgar/data/1928340/000121390026051636/ea0287128-6k_golden.htm" TargetMode="External"/><Relationship Id="rId8" Type="http://schemas.openxmlformats.org/officeDocument/2006/relationships/hyperlink" Target="https://www.sec.gov/Archives/edgar/data/1928340/000121390026038552/ea0284553-6k_golden.htm" TargetMode="External"/><Relationship Id="rId9" Type="http://schemas.openxmlformats.org/officeDocument/2006/relationships/hyperlink" Target="https://www.sec.gov/Archives/edgar/data/1928340/000121390026023149/ea0279631-6k_golden.htm" TargetMode="External"/><Relationship Id="rId10" Type="http://schemas.openxmlformats.org/officeDocument/2006/relationships/hyperlink" Target="https://www.sec.gov/Archives/edgar/data/1928340/000121390026019913/ea0277960-6k_golden.htm" TargetMode="External"/><Relationship Id="rId11" Type="http://schemas.openxmlformats.org/officeDocument/2006/relationships/hyperlink" Target="https://www.sec.gov/Archives/edgar/data/1928340/000121390026019333/ea0277957-6k_golden.htm" TargetMode="External"/><Relationship Id="rId12" Type="http://schemas.openxmlformats.org/officeDocument/2006/relationships/hyperlink" Target="https://www.sec.gov/Archives/edgar/data/1928340/000121390026008252/ea0274236-6k_golden.htm" TargetMode="External"/><Relationship Id="rId13" Type="http://schemas.openxmlformats.org/officeDocument/2006/relationships/hyperlink" Target="https://www.sec.gov/Archives/edgar/data/1928340/000121390023024371/ea176047-8a12b_golden.htm" TargetMode="External"/><Relationship Id="rId14" Type="http://schemas.openxmlformats.org/officeDocument/2006/relationships/hyperlink" Target="http://www.sec.gov/Archives/edgar/data/1928340/000121390025006978/ea022814901ex2-2_golden.htm" TargetMode="External"/><Relationship Id="rId15" Type="http://schemas.openxmlformats.org/officeDocument/2006/relationships/hyperlink" Target="https://www.sec.gov/Archives/edgar/data/1928340/000121390025006978/ea0228149-20f_golden.htm" TargetMode="External"/><Relationship Id="rId16" Type="http://schemas.openxmlformats.org/officeDocument/2006/relationships/hyperlink" Target="https://www.sec.gov/Archives/edgar/data/1928340/000121390026005908/ea0272411-20f_golden.htm" TargetMode="External"/><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hyperlink" Target="https://www.sec.gov/Archives/edgar/data/1928340/000121390026005908/ea0272411-20f_golden.htm" TargetMode="External"/><Relationship Id="rId20" Type="http://schemas.openxmlformats.org/officeDocument/2006/relationships/hyperlink" Target="https://www.sec.gov/Archives/edgar/data/1928340/000121390026008252/ea0274236-6k_golden.htm" TargetMode="External"/><Relationship Id="rId21" Type="http://schemas.openxmlformats.org/officeDocument/2006/relationships/hyperlink" Target="https://www.sec.gov/Archives/edgar/data/1928340/000121390023024371/ea176047-8a12b_golden.htm" TargetMode="External"/><Relationship Id="rId22" Type="http://schemas.openxmlformats.org/officeDocument/2006/relationships/hyperlink" Target="http://www.sec.gov/Archives/edgar/data/1928340/000121390025006978/ea022814901ex2-2_golden.htm" TargetMode="External"/><Relationship Id="rId23" Type="http://schemas.openxmlformats.org/officeDocument/2006/relationships/hyperlink" Target="https://www.sec.gov/Archives/edgar/data/1928340/000121390026005908/ea0272411-20f_golden.htm" TargetMode="External"/><Relationship Id="rId24" Type="http://schemas.openxmlformats.org/officeDocument/2006/relationships/image" Target="media/image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31943</Words>
  <Characters>168675</Characters>
  <CharactersWithSpaces>200784</CharactersWithSpaces>
  <Paragraphs>2123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